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Cayo Santa Maria En Oferta</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877</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958</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Santa Clara / Santiago via Copa Airlines en clase L.</w:t>
            </w:r>
          </w:p>
          <w:p>
            <w:pPr>
              <w:numPr>
                <w:ilvl w:val="0"/>
                <w:numId w:val="2"/>
              </w:numPr>
            </w:pPr>
            <w:r>
              <w:rPr>
                <w:rFonts w:ascii="Arial" w:hAnsi="Arial" w:eastAsia="Arial" w:cs="Arial"/>
                <w:color w:val="#000"/>
                <w:sz w:val="24"/>
                <w:szCs w:val="24"/>
              </w:rPr>
              <w:t xml:space="preserve">Impuestos Aéreos (Q+Tax).</w:t>
            </w:r>
          </w:p>
          <w:p>
            <w:pPr>
              <w:numPr>
                <w:ilvl w:val="0"/>
                <w:numId w:val="2"/>
              </w:numPr>
            </w:pPr>
            <w:r>
              <w:rPr>
                <w:rFonts w:ascii="Arial" w:hAnsi="Arial" w:eastAsia="Arial" w:cs="Arial"/>
                <w:color w:val="#000"/>
                <w:sz w:val="24"/>
                <w:szCs w:val="24"/>
              </w:rPr>
              <w:t xml:space="preserve">Traslado aeropuerto de Santa Clara / Hotel seleccionado en Cayo Santa María en s.</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en Santa Clara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Asistencia Médica de hasta 60,000 USD para pax de hasta 70 años, incluye COVID -.</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Sol Cayo Santa Maria</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958</w:t>
            </w:r>
          </w:p>
        </w:tc>
        <w:tc>
          <w:tcPr>
            <w:tcW w:w="2000" w:type="dxa"/>
            <w:vAlign w:val="center"/>
            <w:vMerge w:val="restart"/>
          </w:tcPr>
          <w:p>
            <w:pPr>
              <w:jc w:val="center"/>
            </w:pPr>
            <w:r>
              <w:rPr>
                <w:color w:val="black"/>
                <w:sz w:val="18"/>
                <w:szCs w:val="18"/>
              </w:rPr>
              <w:t xml:space="preserve">958</w:t>
            </w:r>
          </w:p>
        </w:tc>
        <w:tc>
          <w:tcPr>
            <w:tcW w:w="2000" w:type="dxa"/>
            <w:vAlign w:val="center"/>
            <w:vMerge w:val="restart"/>
          </w:tcPr>
          <w:p>
            <w:pPr>
              <w:jc w:val="center"/>
            </w:pPr>
            <w:r>
              <w:rPr>
                <w:color w:val="black"/>
                <w:sz w:val="18"/>
                <w:szCs w:val="18"/>
              </w:rPr>
              <w:t xml:space="preserve">944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Cayo Santa Maria</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1299</w:t>
            </w:r>
          </w:p>
        </w:tc>
        <w:tc>
          <w:tcPr>
            <w:tcW w:w="2000" w:type="dxa"/>
            <w:vAlign w:val="center"/>
            <w:vMerge w:val="restart"/>
          </w:tcPr>
          <w:p>
            <w:pPr>
              <w:jc w:val="center"/>
            </w:pPr>
            <w:r>
              <w:rPr>
                <w:color w:val="black"/>
                <w:sz w:val="18"/>
                <w:szCs w:val="18"/>
              </w:rPr>
              <w:t xml:space="preserve">1031</w:t>
            </w:r>
          </w:p>
        </w:tc>
        <w:tc>
          <w:tcPr>
            <w:tcW w:w="2000" w:type="dxa"/>
            <w:vAlign w:val="center"/>
            <w:vMerge w:val="restart"/>
          </w:tcPr>
          <w:p>
            <w:pPr>
              <w:jc w:val="center"/>
            </w:pPr>
            <w:r>
              <w:rPr>
                <w:color w:val="black"/>
                <w:sz w:val="18"/>
                <w:szCs w:val="18"/>
              </w:rPr>
              <w:t xml:space="preserve">1013</w:t>
            </w:r>
          </w:p>
        </w:tc>
        <w:tc>
          <w:tcPr>
            <w:tcW w:w="2000" w:type="dxa"/>
            <w:vAlign w:val="center"/>
            <w:vMerge w:val="restart"/>
          </w:tcPr>
          <w:p>
            <w:pPr>
              <w:jc w:val="center"/>
            </w:pPr>
            <w:r>
              <w:rPr>
                <w:color w:val="black"/>
                <w:sz w:val="18"/>
                <w:szCs w:val="18"/>
              </w:rPr>
              <w:t xml:space="preserve">664</w:t>
            </w:r>
          </w:p>
        </w:tc>
        <w:tc>
          <w:tcPr>
            <w:tcW w:w="2000" w:type="dxa"/>
            <w:vAlign w:val="center"/>
            <w:vMerge w:val="restart"/>
          </w:tcPr>
          <w:p>
            <w:pPr>
              <w:jc w:val="center"/>
            </w:pPr>
            <w:r>
              <w:rPr>
                <w:color w:val="black"/>
                <w:sz w:val="18"/>
                <w:szCs w:val="18"/>
              </w:rPr>
              <w:t xml:space="preserve">848</w:t>
            </w:r>
          </w:p>
        </w:tc>
        <w:tc>
          <w:tcPr>
            <w:tcW w:w="2000" w:type="dxa"/>
            <w:vAlign w:val="center"/>
            <w:vMerge w:val="restart"/>
          </w:tcPr>
          <w:p>
            <w:pPr>
              <w:jc w:val="center"/>
            </w:pPr>
            <w:r>
              <w:rPr>
                <w:color w:val="black"/>
                <w:sz w:val="18"/>
                <w:szCs w:val="18"/>
              </w:rPr>
              <w:t xml:space="preserve">894</w:t>
            </w:r>
          </w:p>
        </w:tc>
      </w:tr>
      <w:tr>
        <w:trPr/>
        <w:tc>
          <w:tcPr>
            <w:tcW w:w="8000" w:type="dxa"/>
            <w:vAlign w:val="center"/>
            <w:vMerge w:val="restart"/>
          </w:tcPr>
          <w:p>
            <w:pPr>
              <w:jc w:val="center"/>
            </w:pPr>
            <w:r>
              <w:rPr>
                <w:color w:val="black"/>
                <w:sz w:val="18"/>
                <w:szCs w:val="18"/>
              </w:rPr>
              <w:t xml:space="preserve">Melia Las Dunas</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1004</w:t>
            </w:r>
          </w:p>
        </w:tc>
        <w:tc>
          <w:tcPr>
            <w:tcW w:w="2000" w:type="dxa"/>
            <w:vAlign w:val="center"/>
            <w:vMerge w:val="restart"/>
          </w:tcPr>
          <w:p>
            <w:pPr>
              <w:jc w:val="center"/>
            </w:pPr>
            <w:r>
              <w:rPr>
                <w:color w:val="black"/>
                <w:sz w:val="18"/>
                <w:szCs w:val="18"/>
              </w:rPr>
              <w:t xml:space="preserve">1004</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664</w:t>
            </w:r>
          </w:p>
        </w:tc>
        <w:tc>
          <w:tcPr>
            <w:tcW w:w="2000" w:type="dxa"/>
            <w:vAlign w:val="center"/>
            <w:vMerge w:val="restart"/>
          </w:tcPr>
          <w:p>
            <w:pPr>
              <w:jc w:val="center"/>
            </w:pPr>
            <w:r>
              <w:rPr>
                <w:color w:val="black"/>
                <w:sz w:val="18"/>
                <w:szCs w:val="18"/>
              </w:rPr>
              <w:t xml:space="preserve">834</w:t>
            </w:r>
          </w:p>
        </w:tc>
        <w:tc>
          <w:tcPr>
            <w:tcW w:w="2000" w:type="dxa"/>
            <w:vAlign w:val="center"/>
            <w:vMerge w:val="restart"/>
          </w:tcPr>
          <w:p>
            <w:pPr>
              <w:jc w:val="center"/>
            </w:pPr>
            <w:r>
              <w:rPr>
                <w:color w:val="black"/>
                <w:sz w:val="18"/>
                <w:szCs w:val="18"/>
              </w:rPr>
              <w:t xml:space="preserve">877</w:t>
            </w:r>
          </w:p>
        </w:tc>
      </w:tr>
      <w:tr>
        <w:trPr/>
        <w:tc>
          <w:tcPr>
            <w:tcW w:w="8000" w:type="dxa"/>
            <w:vAlign w:val="center"/>
            <w:vMerge w:val="restart"/>
          </w:tcPr>
          <w:p>
            <w:pPr>
              <w:jc w:val="center"/>
            </w:pPr>
            <w:r>
              <w:rPr>
                <w:color w:val="black"/>
                <w:sz w:val="18"/>
                <w:szCs w:val="18"/>
              </w:rPr>
              <w:t xml:space="preserve">Melia Buenavista</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1303</w:t>
            </w:r>
          </w:p>
        </w:tc>
        <w:tc>
          <w:tcPr>
            <w:tcW w:w="2000" w:type="dxa"/>
            <w:vAlign w:val="center"/>
            <w:vMerge w:val="restart"/>
          </w:tcPr>
          <w:p>
            <w:pPr>
              <w:jc w:val="center"/>
            </w:pPr>
            <w:r>
              <w:rPr>
                <w:color w:val="black"/>
                <w:sz w:val="18"/>
                <w:szCs w:val="18"/>
              </w:rPr>
              <w:t xml:space="preserve">1303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Paradisus Los Cayos</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1251</w:t>
            </w:r>
          </w:p>
        </w:tc>
        <w:tc>
          <w:tcPr>
            <w:tcW w:w="2000" w:type="dxa"/>
            <w:vAlign w:val="center"/>
            <w:vMerge w:val="restart"/>
          </w:tcPr>
          <w:p>
            <w:pPr>
              <w:jc w:val="center"/>
            </w:pPr>
            <w:r>
              <w:rPr>
                <w:color w:val="black"/>
                <w:sz w:val="18"/>
                <w:szCs w:val="18"/>
              </w:rPr>
              <w:t xml:space="preserve">1251</w:t>
            </w:r>
          </w:p>
        </w:tc>
        <w:tc>
          <w:tcPr>
            <w:tcW w:w="2000" w:type="dxa"/>
            <w:vAlign w:val="center"/>
            <w:vMerge w:val="restart"/>
          </w:tcPr>
          <w:p>
            <w:pPr>
              <w:jc w:val="center"/>
            </w:pPr>
            <w:r>
              <w:rPr>
                <w:color w:val="black"/>
                <w:sz w:val="18"/>
                <w:szCs w:val="18"/>
              </w:rPr>
              <w:t xml:space="preserve">1202</w:t>
            </w:r>
          </w:p>
        </w:tc>
        <w:tc>
          <w:tcPr>
            <w:tcW w:w="2000" w:type="dxa"/>
            <w:vAlign w:val="center"/>
            <w:vMerge w:val="restart"/>
          </w:tcPr>
          <w:p>
            <w:pPr>
              <w:jc w:val="center"/>
            </w:pPr>
            <w:r>
              <w:rPr>
                <w:color w:val="black"/>
                <w:sz w:val="18"/>
                <w:szCs w:val="18"/>
              </w:rPr>
              <w:t xml:space="preserve">664</w:t>
            </w:r>
          </w:p>
        </w:tc>
        <w:tc>
          <w:tcPr>
            <w:tcW w:w="2000" w:type="dxa"/>
            <w:vAlign w:val="center"/>
            <w:vMerge w:val="restart"/>
          </w:tcPr>
          <w:p>
            <w:pPr>
              <w:jc w:val="center"/>
            </w:pPr>
            <w:r>
              <w:rPr>
                <w:color w:val="black"/>
                <w:sz w:val="18"/>
                <w:szCs w:val="18"/>
              </w:rPr>
              <w:t xml:space="preserve">957</w:t>
            </w:r>
          </w:p>
        </w:tc>
        <w:tc>
          <w:tcPr>
            <w:tcW w:w="2000" w:type="dxa"/>
            <w:vAlign w:val="center"/>
            <w:vMerge w:val="restart"/>
          </w:tcPr>
          <w:p>
            <w:pPr>
              <w:jc w:val="center"/>
            </w:pPr>
            <w:r>
              <w:rPr>
                <w:color w:val="black"/>
                <w:sz w:val="18"/>
                <w:szCs w:val="18"/>
              </w:rPr>
              <w:t xml:space="preserve">1031</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L con conexión en Panamá.</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30 de junio de 2025.</w:t>
      </w:r>
    </w:p>
    <w:p>
      <w:pPr>
        <w:numPr>
          <w:ilvl w:val="0"/>
          <w:numId w:val="2"/>
        </w:numPr>
      </w:pPr>
      <w:r>
        <w:rPr>
          <w:rFonts w:ascii="Arial" w:hAnsi="Arial" w:eastAsia="Arial" w:cs="Arial"/>
          <w:color w:val="#000"/>
          <w:sz w:val="24"/>
          <w:szCs w:val="24"/>
        </w:rPr>
        <w:t xml:space="preserve">Tarifas referenciales ( Desde).</w:t>
      </w:r>
    </w:p>
    <w:p>
      <w:pPr>
        <w:numPr>
          <w:ilvl w:val="0"/>
          <w:numId w:val="2"/>
        </w:numPr>
      </w:pPr>
      <w:r>
        <w:rPr>
          <w:rFonts w:ascii="Arial" w:hAnsi="Arial" w:eastAsia="Arial" w:cs="Arial"/>
          <w:color w:val="#000"/>
          <w:sz w:val="24"/>
          <w:szCs w:val="24"/>
        </w:rPr>
        <w:t xml:space="preserve">Permite viajar: Inicio de Viaje: 01 de junio de 2025.</w:t>
      </w:r>
    </w:p>
    <w:p>
      <w:pPr>
        <w:numPr>
          <w:ilvl w:val="0"/>
          <w:numId w:val="2"/>
        </w:numPr>
      </w:pPr>
      <w:r>
        <w:rPr>
          <w:rFonts w:ascii="Arial" w:hAnsi="Arial" w:eastAsia="Arial" w:cs="Arial"/>
          <w:color w:val="#000"/>
          <w:sz w:val="24"/>
          <w:szCs w:val="24"/>
        </w:rPr>
        <w:t xml:space="preserve">Viaje Finalizado: 31 de octubre de 2025.</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Incluye una maleta de bodega de 23 KG.</w:t>
      </w:r>
    </w:p>
    <w:p>
      <w:pPr>
        <w:numPr>
          <w:ilvl w:val="0"/>
          <w:numId w:val="2"/>
        </w:numPr>
      </w:pPr>
      <w:r>
        <w:rPr>
          <w:rFonts w:ascii="Arial" w:hAnsi="Arial" w:eastAsia="Arial" w:cs="Arial"/>
          <w:color w:val="#000"/>
          <w:sz w:val="24"/>
          <w:szCs w:val="24"/>
        </w:rPr>
        <w:t xml:space="preserve">Resto de 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086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2025-06-14T17:53:37-04:00</dcterms:created>
  <dcterms:modified xsi:type="dcterms:W3CDTF">2025-06-14T17:53:37-04:00</dcterms:modified>
</cp:coreProperties>
</file>

<file path=docProps/custom.xml><?xml version="1.0" encoding="utf-8"?>
<Properties xmlns="http://schemas.openxmlformats.org/officeDocument/2006/custom-properties" xmlns:vt="http://schemas.openxmlformats.org/officeDocument/2006/docPropsVTypes"/>
</file>