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Habana - Varadero En Oferta</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940</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1.064</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La Habana / Santiago via Copa Airlines en clase L</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La Habana / Hotel seleccionado en Habana en servicio compart</w:t>
            </w:r>
          </w:p>
          <w:p>
            <w:pPr>
              <w:numPr>
                <w:ilvl w:val="0"/>
                <w:numId w:val="2"/>
              </w:numPr>
            </w:pPr>
            <w:r>
              <w:rPr>
                <w:rFonts w:ascii="Arial" w:hAnsi="Arial" w:eastAsia="Arial" w:cs="Arial"/>
                <w:color w:val="#000"/>
                <w:sz w:val="24"/>
                <w:szCs w:val="24"/>
              </w:rPr>
              <w:t xml:space="preserve">2 noches de alojamiento hotel seleccionado solo desayuno</w:t>
            </w:r>
          </w:p>
          <w:p>
            <w:pPr>
              <w:numPr>
                <w:ilvl w:val="0"/>
                <w:numId w:val="2"/>
              </w:numPr>
            </w:pPr>
            <w:r>
              <w:rPr>
                <w:rFonts w:ascii="Arial" w:hAnsi="Arial" w:eastAsia="Arial" w:cs="Arial"/>
                <w:color w:val="#000"/>
                <w:sz w:val="24"/>
                <w:szCs w:val="24"/>
              </w:rPr>
              <w:t xml:space="preserve">Traslado hortel en  La Habana / Hotel seleccionado en Varadero en servicio compa</w:t>
            </w:r>
          </w:p>
          <w:p>
            <w:pPr>
              <w:numPr>
                <w:ilvl w:val="0"/>
                <w:numId w:val="2"/>
              </w:numPr>
            </w:pPr>
            <w:r>
              <w:rPr>
                <w:rFonts w:ascii="Arial" w:hAnsi="Arial" w:eastAsia="Arial" w:cs="Arial"/>
                <w:color w:val="#000"/>
                <w:sz w:val="24"/>
                <w:szCs w:val="24"/>
              </w:rPr>
              <w:t xml:space="preserve">5 noches de alojamiento hotel seleccionado sistema Todo Incluido</w:t>
            </w:r>
          </w:p>
          <w:p>
            <w:pPr>
              <w:numPr>
                <w:ilvl w:val="0"/>
                <w:numId w:val="2"/>
              </w:numPr>
            </w:pPr>
            <w:r>
              <w:rPr>
                <w:rFonts w:ascii="Arial" w:hAnsi="Arial" w:eastAsia="Arial" w:cs="Arial"/>
                <w:color w:val="#000"/>
                <w:sz w:val="24"/>
                <w:szCs w:val="24"/>
              </w:rPr>
              <w:t xml:space="preserve">Almuerzo de cortesía en el restaurante de la Habana "La esquina de ORO"</w:t>
            </w:r>
          </w:p>
          <w:p>
            <w:pPr>
              <w:numPr>
                <w:ilvl w:val="0"/>
                <w:numId w:val="2"/>
              </w:numPr>
            </w:pPr>
            <w:r>
              <w:rPr>
                <w:rFonts w:ascii="Arial" w:hAnsi="Arial" w:eastAsia="Arial" w:cs="Arial"/>
                <w:color w:val="#000"/>
                <w:sz w:val="24"/>
                <w:szCs w:val="24"/>
              </w:rPr>
              <w:t xml:space="preserve">Traslado hotel  / Aeropuerto en La Habana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Asistencia medica hasta 60,000 USD para Pax de hasta 85 años. Inlcluye COVID 19</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1718</w:t>
            </w:r>
          </w:p>
        </w:tc>
        <w:tc>
          <w:tcPr>
            <w:tcW w:w="2000" w:type="dxa"/>
            <w:vAlign w:val="center"/>
            <w:vMerge w:val="restart"/>
          </w:tcPr>
          <w:p>
            <w:pPr>
              <w:jc w:val="center"/>
            </w:pPr>
            <w:r>
              <w:rPr>
                <w:color w:val="black"/>
                <w:sz w:val="18"/>
                <w:szCs w:val="18"/>
              </w:rPr>
              <w:t xml:space="preserve">1368</w:t>
            </w:r>
          </w:p>
        </w:tc>
        <w:tc>
          <w:tcPr>
            <w:tcW w:w="2000" w:type="dxa"/>
            <w:vAlign w:val="center"/>
            <w:vMerge w:val="restart"/>
          </w:tcPr>
          <w:p>
            <w:pPr>
              <w:jc w:val="center"/>
            </w:pPr>
            <w:r>
              <w:rPr>
                <w:color w:val="black"/>
                <w:sz w:val="18"/>
                <w:szCs w:val="18"/>
              </w:rPr>
              <w:t xml:space="preserve">1314</w:t>
            </w:r>
          </w:p>
        </w:tc>
        <w:tc>
          <w:tcPr>
            <w:tcW w:w="2000" w:type="dxa"/>
            <w:vAlign w:val="center"/>
            <w:vMerge w:val="restart"/>
          </w:tcPr>
          <w:p>
            <w:pPr>
              <w:jc w:val="center"/>
            </w:pPr>
            <w:r>
              <w:rPr>
                <w:color w:val="black"/>
                <w:sz w:val="18"/>
                <w:szCs w:val="18"/>
              </w:rPr>
              <w:t xml:space="preserve">964</w:t>
            </w:r>
          </w:p>
        </w:tc>
        <w:tc>
          <w:tcPr>
            <w:tcW w:w="2000" w:type="dxa"/>
            <w:vAlign w:val="center"/>
            <w:vMerge w:val="restart"/>
          </w:tcPr>
          <w:p>
            <w:pPr>
              <w:jc w:val="center"/>
            </w:pPr>
            <w:r>
              <w:rPr>
                <w:color w:val="black"/>
                <w:sz w:val="18"/>
                <w:szCs w:val="18"/>
              </w:rPr>
              <w:t xml:space="preserve">964</w:t>
            </w:r>
          </w:p>
        </w:tc>
        <w:tc>
          <w:tcPr>
            <w:tcW w:w="2000" w:type="dxa"/>
            <w:vAlign w:val="center"/>
            <w:vMerge w:val="restart"/>
          </w:tcPr>
          <w:p>
            <w:pPr>
              <w:jc w:val="center"/>
            </w:pPr>
            <w:r>
              <w:rPr>
                <w:color w:val="black"/>
                <w:sz w:val="18"/>
                <w:szCs w:val="18"/>
              </w:rPr>
              <w:t xml:space="preserve">1166</w:t>
            </w:r>
          </w:p>
        </w:tc>
      </w:tr>
      <w:tr>
        <w:trPr/>
        <w:tc>
          <w:tcPr>
            <w:tcW w:w="8000" w:type="dxa"/>
            <w:vAlign w:val="center"/>
            <w:vMerge w:val="restart"/>
          </w:tcPr>
          <w:p>
            <w:pPr>
              <w:jc w:val="center"/>
            </w:pPr>
            <w:r>
              <w:rPr>
                <w:color w:val="black"/>
                <w:sz w:val="18"/>
                <w:szCs w:val="18"/>
              </w:rPr>
              <w:t xml:space="preserve">Iberostar Parque Central / Iberostar Tainos</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1235</w:t>
            </w:r>
          </w:p>
        </w:tc>
        <w:tc>
          <w:tcPr>
            <w:tcW w:w="2000" w:type="dxa"/>
            <w:vAlign w:val="center"/>
            <w:vMerge w:val="restart"/>
          </w:tcPr>
          <w:p>
            <w:pPr>
              <w:jc w:val="center"/>
            </w:pPr>
            <w:r>
              <w:rPr>
                <w:color w:val="black"/>
                <w:sz w:val="18"/>
                <w:szCs w:val="18"/>
              </w:rPr>
              <w:t xml:space="preserve">1064</w:t>
            </w:r>
          </w:p>
        </w:tc>
        <w:tc>
          <w:tcPr>
            <w:tcW w:w="2000" w:type="dxa"/>
            <w:vAlign w:val="center"/>
            <w:vMerge w:val="restart"/>
          </w:tcPr>
          <w:p>
            <w:pPr>
              <w:jc w:val="center"/>
            </w:pPr>
            <w:r>
              <w:rPr>
                <w:color w:val="black"/>
                <w:sz w:val="18"/>
                <w:szCs w:val="18"/>
              </w:rPr>
              <w:t xml:space="preserve">1044</w:t>
            </w:r>
          </w:p>
        </w:tc>
        <w:tc>
          <w:tcPr>
            <w:tcW w:w="2000" w:type="dxa"/>
            <w:vAlign w:val="center"/>
            <w:vMerge w:val="restart"/>
          </w:tcPr>
          <w:p>
            <w:pPr>
              <w:jc w:val="center"/>
            </w:pPr>
            <w:r>
              <w:rPr>
                <w:color w:val="black"/>
                <w:sz w:val="18"/>
                <w:szCs w:val="18"/>
              </w:rPr>
              <w:t xml:space="preserve">815</w:t>
            </w:r>
          </w:p>
        </w:tc>
        <w:tc>
          <w:tcPr>
            <w:tcW w:w="2000" w:type="dxa"/>
            <w:vAlign w:val="center"/>
            <w:vMerge w:val="restart"/>
          </w:tcPr>
          <w:p>
            <w:pPr>
              <w:jc w:val="center"/>
            </w:pPr>
            <w:r>
              <w:rPr>
                <w:color w:val="black"/>
                <w:sz w:val="18"/>
                <w:szCs w:val="18"/>
              </w:rPr>
              <w:t xml:space="preserve">815</w:t>
            </w:r>
          </w:p>
        </w:tc>
        <w:tc>
          <w:tcPr>
            <w:tcW w:w="2000" w:type="dxa"/>
            <w:vAlign w:val="center"/>
            <w:vMerge w:val="restart"/>
          </w:tcPr>
          <w:p>
            <w:pPr>
              <w:jc w:val="center"/>
            </w:pPr>
            <w:r>
              <w:rPr>
                <w:color w:val="black"/>
                <w:sz w:val="18"/>
                <w:szCs w:val="18"/>
              </w:rPr>
              <w:t xml:space="preserve">940</w:t>
            </w:r>
          </w:p>
        </w:tc>
      </w:tr>
      <w:tr>
        <w:trPr/>
        <w:tc>
          <w:tcPr>
            <w:tcW w:w="8000" w:type="dxa"/>
            <w:vAlign w:val="center"/>
            <w:vMerge w:val="restart"/>
          </w:tcPr>
          <w:p>
            <w:pPr>
              <w:jc w:val="center"/>
            </w:pPr>
            <w:r>
              <w:rPr>
                <w:color w:val="black"/>
                <w:sz w:val="18"/>
                <w:szCs w:val="18"/>
              </w:rPr>
              <w:t xml:space="preserve">Royalton Habana Paseo del Prado / Royalton Hicacos</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1681</w:t>
            </w:r>
          </w:p>
        </w:tc>
        <w:tc>
          <w:tcPr>
            <w:tcW w:w="2000" w:type="dxa"/>
            <w:vAlign w:val="center"/>
            <w:vMerge w:val="restart"/>
          </w:tcPr>
          <w:p>
            <w:pPr>
              <w:jc w:val="center"/>
            </w:pPr>
            <w:r>
              <w:rPr>
                <w:color w:val="black"/>
                <w:sz w:val="18"/>
                <w:szCs w:val="18"/>
              </w:rPr>
              <w:t xml:space="preserve">1313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Mystique Regis Habana / Royalton Hicacos</w:t>
            </w:r>
          </w:p>
        </w:tc>
        <w:tc>
          <w:tcPr>
            <w:tcW w:w="2000" w:type="dxa"/>
            <w:vAlign w:val="center"/>
            <w:vMerge w:val="restart"/>
          </w:tcPr>
          <w:p>
            <w:pPr>
              <w:jc w:val="center"/>
            </w:pPr>
            <w:r>
              <w:rPr>
                <w:color w:val="black"/>
                <w:sz w:val="18"/>
                <w:szCs w:val="18"/>
              </w:rPr>
              <w:t xml:space="preserve">01/10/2024</w:t>
            </w:r>
          </w:p>
        </w:tc>
        <w:tc>
          <w:tcPr>
            <w:tcW w:w="2000" w:type="dxa"/>
            <w:vAlign w:val="center"/>
            <w:vMerge w:val="restart"/>
          </w:tcPr>
          <w:p>
            <w:pPr>
              <w:jc w:val="center"/>
            </w:pPr>
            <w:r>
              <w:rPr>
                <w:color w:val="black"/>
                <w:sz w:val="18"/>
                <w:szCs w:val="18"/>
              </w:rPr>
              <w:t xml:space="preserve">31/10/2024</w:t>
            </w:r>
          </w:p>
        </w:tc>
        <w:tc>
          <w:tcPr>
            <w:tcW w:w="2000" w:type="dxa"/>
            <w:vAlign w:val="center"/>
            <w:vMerge w:val="restart"/>
          </w:tcPr>
          <w:p>
            <w:pPr>
              <w:jc w:val="center"/>
            </w:pPr>
            <w:r>
              <w:rPr>
                <w:color w:val="black"/>
                <w:sz w:val="18"/>
                <w:szCs w:val="18"/>
              </w:rPr>
              <w:t xml:space="preserve">1628</w:t>
            </w:r>
          </w:p>
        </w:tc>
        <w:tc>
          <w:tcPr>
            <w:tcW w:w="2000" w:type="dxa"/>
            <w:vAlign w:val="center"/>
            <w:vMerge w:val="restart"/>
          </w:tcPr>
          <w:p>
            <w:pPr>
              <w:jc w:val="center"/>
            </w:pPr>
            <w:r>
              <w:rPr>
                <w:color w:val="black"/>
                <w:sz w:val="18"/>
                <w:szCs w:val="18"/>
              </w:rPr>
              <w:t xml:space="preserve">1247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L con conexión en Panamá </w:t>
      </w:r>
    </w:p>
    <w:p>
      <w:pPr>
        <w:numPr>
          <w:ilvl w:val="0"/>
          <w:numId w:val="2"/>
        </w:numPr>
      </w:pPr>
      <w:r>
        <w:rPr>
          <w:rFonts w:ascii="Arial" w:hAnsi="Arial" w:eastAsia="Arial" w:cs="Arial"/>
          <w:color w:val="#000"/>
          <w:sz w:val="24"/>
          <w:szCs w:val="24"/>
        </w:rPr>
        <w:t xml:space="preserve"> Programa aplica para RESERVA Y EMISIÓN 48 horas después de confirmados los servicios </w:t>
      </w:r>
    </w:p>
    <w:p>
      <w:pPr>
        <w:numPr>
          <w:ilvl w:val="0"/>
          <w:numId w:val="2"/>
        </w:numPr>
      </w:pPr>
      <w:r>
        <w:rPr>
          <w:rFonts w:ascii="Arial" w:hAnsi="Arial" w:eastAsia="Arial" w:cs="Arial"/>
          <w:color w:val="#000"/>
          <w:sz w:val="24"/>
          <w:szCs w:val="24"/>
        </w:rPr>
        <w:t xml:space="preserve"> Permite comprar hasta 31 de octubre de 2024 </w:t>
      </w:r>
    </w:p>
    <w:p>
      <w:pPr>
        <w:numPr>
          <w:ilvl w:val="0"/>
          <w:numId w:val="2"/>
        </w:numPr>
      </w:pPr>
      <w:r>
        <w:rPr>
          <w:rFonts w:ascii="Arial" w:hAnsi="Arial" w:eastAsia="Arial" w:cs="Arial"/>
          <w:color w:val="#000"/>
          <w:sz w:val="24"/>
          <w:szCs w:val="24"/>
        </w:rPr>
        <w:t xml:space="preserve"> Permite viajar: Inicio de Viaje: 01 de octubre de 2024 </w:t>
      </w:r>
    </w:p>
    <w:p>
      <w:pPr>
        <w:numPr>
          <w:ilvl w:val="0"/>
          <w:numId w:val="2"/>
        </w:numPr>
      </w:pPr>
      <w:r>
        <w:rPr>
          <w:rFonts w:ascii="Arial" w:hAnsi="Arial" w:eastAsia="Arial" w:cs="Arial"/>
          <w:color w:val="#000"/>
          <w:sz w:val="24"/>
          <w:szCs w:val="24"/>
        </w:rPr>
        <w:t xml:space="preserve"> Viaje Finalizado: 31 de octubre de 2024  </w:t>
      </w:r>
    </w:p>
    <w:p>
      <w:pPr>
        <w:numPr>
          <w:ilvl w:val="0"/>
          <w:numId w:val="2"/>
        </w:numPr>
      </w:pPr>
      <w:r>
        <w:rPr>
          <w:rFonts w:ascii="Arial" w:hAnsi="Arial" w:eastAsia="Arial" w:cs="Arial"/>
          <w:color w:val="#000"/>
          <w:sz w:val="24"/>
          <w:szCs w:val="24"/>
        </w:rPr>
        <w:t xml:space="preserve"> 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 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 Equipaje en bodega con cargo</w:t>
      </w:r>
    </w:p>
    <w:p>
      <w:pPr>
        <w:numPr>
          <w:ilvl w:val="0"/>
          <w:numId w:val="2"/>
        </w:numPr>
      </w:pPr>
      <w:r>
        <w:rPr>
          <w:rFonts w:ascii="Arial" w:hAnsi="Arial" w:eastAsia="Arial" w:cs="Arial"/>
          <w:color w:val="#000"/>
          <w:sz w:val="24"/>
          <w:szCs w:val="24"/>
        </w:rPr>
        <w:t xml:space="preserve"> Cambios permitidos con penalidad</w:t>
      </w:r>
    </w:p>
    <w:p>
      <w:pPr>
        <w:numPr>
          <w:ilvl w:val="0"/>
          <w:numId w:val="2"/>
        </w:numPr>
      </w:pPr>
      <w:r>
        <w:rPr>
          <w:rFonts w:ascii="Arial" w:hAnsi="Arial" w:eastAsia="Arial" w:cs="Arial"/>
          <w:color w:val="#000"/>
          <w:sz w:val="24"/>
          <w:szCs w:val="24"/>
        </w:rPr>
        <w:t xml:space="preserve"> Preselección de asientos regulares con cargo, si realiza web check in; sino, serán asignados en el chequeo del counter en aeropuerto. </w:t>
      </w:r>
    </w:p>
    <w:p>
      <w:pPr>
        <w:numPr>
          <w:ilvl w:val="0"/>
          <w:numId w:val="2"/>
        </w:numPr>
      </w:pPr>
      <w:r>
        <w:rPr>
          <w:rFonts w:ascii="Arial" w:hAnsi="Arial" w:eastAsia="Arial" w:cs="Arial"/>
          <w:color w:val="#000"/>
          <w:sz w:val="24"/>
          <w:szCs w:val="24"/>
        </w:rPr>
        <w:t xml:space="preserve"> Ascenso PreferMembers (prioridad baja)</w:t>
      </w:r>
    </w:p>
    <w:p>
      <w:pPr>
        <w:numPr>
          <w:ilvl w:val="0"/>
          <w:numId w:val="2"/>
        </w:numPr>
      </w:pPr>
      <w:r>
        <w:rPr>
          <w:rFonts w:ascii="Arial" w:hAnsi="Arial" w:eastAsia="Arial" w:cs="Arial"/>
          <w:color w:val="#000"/>
          <w:sz w:val="24"/>
          <w:szCs w:val="24"/>
        </w:rPr>
        <w:t xml:space="preserve"> Acumula 50% de millas ConnectMiles</w:t>
      </w:r>
    </w:p>
    <w:p>
      <w:pPr>
        <w:numPr>
          <w:ilvl w:val="0"/>
          <w:numId w:val="2"/>
        </w:numPr>
      </w:pPr>
      <w:r>
        <w:rPr>
          <w:rFonts w:ascii="Arial" w:hAnsi="Arial" w:eastAsia="Arial" w:cs="Arial"/>
          <w:color w:val="#000"/>
          <w:sz w:val="24"/>
          <w:szCs w:val="24"/>
        </w:rPr>
        <w:t xml:space="preserve"> Tarifa no reembolsable.
</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+56/2 2993 4200</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826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2024-10-22T07:46:38-03:00</dcterms:created>
  <dcterms:modified xsi:type="dcterms:W3CDTF">2024-10-22T07:46:38-03:00</dcterms:modified>
</cp:coreProperties>
</file>

<file path=docProps/custom.xml><?xml version="1.0" encoding="utf-8"?>
<Properties xmlns="http://schemas.openxmlformats.org/officeDocument/2006/custom-properties" xmlns:vt="http://schemas.openxmlformats.org/officeDocument/2006/docPropsVTypes"/>
</file>