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Florianopolis</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8 días / 7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635</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 Hotel  en servicio compartido</w:t>
            </w:r>
          </w:p>
          <w:p>
            <w:pPr>
              <w:numPr>
                <w:ilvl w:val="0"/>
                <w:numId w:val="2"/>
              </w:numPr>
            </w:pPr>
            <w:r>
              <w:rPr>
                <w:rFonts w:ascii="Arial" w:hAnsi="Arial" w:eastAsia="Arial" w:cs="Arial"/>
                <w:color w:val="#000"/>
                <w:sz w:val="24"/>
                <w:szCs w:val="24"/>
              </w:rPr>
              <w:t xml:space="preserve">7 noches de alojamiento hotel seleccionado (plan alimenticio según cada hotel)</w:t>
            </w:r>
          </w:p>
          <w:p>
            <w:pPr>
              <w:numPr>
                <w:ilvl w:val="0"/>
                <w:numId w:val="2"/>
              </w:numPr>
            </w:pPr>
            <w:r>
              <w:rPr>
                <w:rFonts w:ascii="Arial" w:hAnsi="Arial" w:eastAsia="Arial" w:cs="Arial"/>
                <w:color w:val="#000"/>
                <w:sz w:val="24"/>
                <w:szCs w:val="24"/>
              </w:rPr>
              <w:t xml:space="preserve">City Tour</w:t>
            </w:r>
          </w:p>
          <w:p>
            <w:pPr>
              <w:numPr>
                <w:ilvl w:val="0"/>
                <w:numId w:val="2"/>
              </w:numPr>
            </w:pPr>
            <w:r>
              <w:rPr>
                <w:rFonts w:ascii="Arial" w:hAnsi="Arial" w:eastAsia="Arial" w:cs="Arial"/>
                <w:color w:val="#000"/>
                <w:sz w:val="24"/>
                <w:szCs w:val="24"/>
              </w:rPr>
              <w:t xml:space="preserve">Traslado hotel / Aeropuerto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Costa Norte</w:t>
            </w:r>
          </w:p>
        </w:tc>
        <w:tc>
          <w:tcPr>
            <w:tcW w:w="2000" w:type="dxa"/>
            <w:vAlign w:val="center"/>
            <w:vMerge w:val="restart"/>
          </w:tcPr>
          <w:p>
            <w:pPr>
              <w:jc w:val="center"/>
            </w:pPr>
            <w:r>
              <w:rPr>
                <w:color w:val="black"/>
                <w:sz w:val="18"/>
                <w:szCs w:val="18"/>
              </w:rPr>
              <w:t xml:space="preserve">01/07/2025</w:t>
            </w:r>
          </w:p>
        </w:tc>
        <w:tc>
          <w:tcPr>
            <w:tcW w:w="2000" w:type="dxa"/>
            <w:vAlign w:val="center"/>
            <w:vMerge w:val="restart"/>
          </w:tcPr>
          <w:p>
            <w:pPr>
              <w:jc w:val="center"/>
            </w:pPr>
            <w:r>
              <w:rPr>
                <w:color w:val="black"/>
                <w:sz w:val="18"/>
                <w:szCs w:val="18"/>
              </w:rPr>
              <w:t xml:space="preserve">20/12/2025</w:t>
            </w:r>
          </w:p>
        </w:tc>
        <w:tc>
          <w:tcPr>
            <w:tcW w:w="2000" w:type="dxa"/>
            <w:vAlign w:val="center"/>
            <w:vMerge w:val="restart"/>
          </w:tcPr>
          <w:p>
            <w:pPr>
              <w:jc w:val="center"/>
            </w:pPr>
            <w:r>
              <w:rPr>
                <w:color w:val="black"/>
                <w:sz w:val="18"/>
                <w:szCs w:val="18"/>
              </w:rPr>
              <w:t xml:space="preserve">1048</w:t>
            </w:r>
          </w:p>
        </w:tc>
        <w:tc>
          <w:tcPr>
            <w:tcW w:w="2000" w:type="dxa"/>
            <w:vAlign w:val="center"/>
            <w:vMerge w:val="restart"/>
          </w:tcPr>
          <w:p>
            <w:pPr>
              <w:jc w:val="center"/>
            </w:pPr>
            <w:r>
              <w:rPr>
                <w:color w:val="black"/>
                <w:sz w:val="18"/>
                <w:szCs w:val="18"/>
              </w:rPr>
              <w:t xml:space="preserve">635</w:t>
            </w:r>
          </w:p>
        </w:tc>
        <w:tc>
          <w:tcPr>
            <w:tcW w:w="2000" w:type="dxa"/>
            <w:vAlign w:val="center"/>
            <w:vMerge w:val="restart"/>
          </w:tcPr>
          <w:p>
            <w:pPr>
              <w:jc w:val="center"/>
            </w:pPr>
            <w:r>
              <w:rPr>
                <w:color w:val="black"/>
                <w:sz w:val="18"/>
                <w:szCs w:val="18"/>
              </w:rPr>
              <w:t xml:space="preserve">604</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20 de diciembre de 2025</w:t>
      </w:r>
    </w:p>
    <w:p>
      <w:pPr>
        <w:numPr>
          <w:ilvl w:val="0"/>
          <w:numId w:val="2"/>
        </w:numPr>
      </w:pPr>
      <w:r>
        <w:rPr>
          <w:rFonts w:ascii="Arial" w:hAnsi="Arial" w:eastAsia="Arial" w:cs="Arial"/>
          <w:color w:val="#000"/>
          <w:sz w:val="24"/>
          <w:szCs w:val="24"/>
        </w:rPr>
        <w:t xml:space="preserve">Permite viajar: Inicio de Viaje: 01 de julio de 2025</w:t>
      </w:r>
    </w:p>
    <w:p>
      <w:pPr>
        <w:numPr>
          <w:ilvl w:val="0"/>
          <w:numId w:val="2"/>
        </w:numPr>
      </w:pPr>
      <w:r>
        <w:rPr>
          <w:rFonts w:ascii="Arial" w:hAnsi="Arial" w:eastAsia="Arial" w:cs="Arial"/>
          <w:color w:val="#000"/>
          <w:sz w:val="24"/>
          <w:szCs w:val="24"/>
        </w:rPr>
        <w:t xml:space="preserve">Viaje Finalizado: 20 de diciembre de 2025,</w:t>
      </w:r>
    </w:p>
    <w:p>
      <w:pPr>
        <w:numPr>
          <w:ilvl w:val="0"/>
          <w:numId w:val="2"/>
        </w:numPr>
      </w:pPr>
      <w:r>
        <w:rPr>
          <w:rFonts w:ascii="Arial" w:hAnsi="Arial" w:eastAsia="Arial" w:cs="Arial"/>
          <w:color w:val="#000"/>
          <w:sz w:val="24"/>
          <w:szCs w:val="24"/>
        </w:rPr>
        <w:t xml:space="preserve">Consulte la política de CHD con su ejecutivo de cuenta</w:t>
      </w:r>
    </w:p>
    <w:p>
      <w:pPr>
        <w:numPr>
          <w:ilvl w:val="0"/>
          <w:numId w:val="2"/>
        </w:numPr>
      </w:pPr>
      <w:r>
        <w:rPr>
          <w:rFonts w:ascii="Arial" w:hAnsi="Arial" w:eastAsia="Arial" w:cs="Arial"/>
          <w:color w:val="#000"/>
          <w:sz w:val="24"/>
          <w:szCs w:val="24"/>
        </w:rPr>
        <w:t xml:space="preserve">No aplicable para festivos y eventos especiales, consulte con su ejecutivo de cuentas</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o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Los precios informados son para traslados durante el día 07h as 22h , luego de este horario deberá pagarse un adicional</w:t>
      </w:r>
    </w:p>
    <w:p>
      <w:pPr>
        <w:numPr>
          <w:ilvl w:val="0"/>
          <w:numId w:val="2"/>
        </w:numPr>
      </w:pPr>
      <w:r>
        <w:rPr>
          <w:rFonts w:ascii="Arial" w:hAnsi="Arial" w:eastAsia="Arial" w:cs="Arial"/>
          <w:color w:val="#000"/>
          <w:sz w:val="24"/>
          <w:szCs w:val="24"/>
        </w:rPr>
        <w:t xml:space="preserve">Tour con mínimo de 2 PAX</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6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2025-12-15T15:15:40-03:00</dcterms:created>
  <dcterms:modified xsi:type="dcterms:W3CDTF">2025-12-15T15:15:40-03:00</dcterms:modified>
</cp:coreProperties>
</file>

<file path=docProps/custom.xml><?xml version="1.0" encoding="utf-8"?>
<Properties xmlns="http://schemas.openxmlformats.org/officeDocument/2006/custom-properties" xmlns:vt="http://schemas.openxmlformats.org/officeDocument/2006/docPropsVTypes"/>
</file>