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Londres Y Paris</w:t>
            </w:r>
            <w:r>
              <w:rPr>
                <w:rFonts w:ascii="Arial" w:hAnsi="Arial" w:eastAsia="Arial" w:cs="Arial"/>
                <w:color w:val="#013785"/>
                <w:sz w:val="60"/>
                <w:szCs w:val="60"/>
                <w:i w:val="1"/>
                <w:iCs w:val="1"/>
              </w:rPr>
              <w:t xml:space="preserve"> / Falkland Islas</w:t>
            </w:r>
          </w:p>
          <w:p>
            <w:pPr/>
            <w:r>
              <w:rPr>
                <w:rFonts w:ascii="Arial" w:hAnsi="Arial" w:eastAsia="Arial" w:cs="Arial"/>
                <w:color w:val="#013785"/>
                <w:sz w:val="30"/>
                <w:szCs w:val="30"/>
                <w:b w:val="1"/>
                <w:bCs w:val="1"/>
              </w:rPr>
              <w:t xml:space="preserve">7 días / 6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1.677</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Transporte en autocar de lujo con wi-fi, gratuito</w:t>
            </w:r>
          </w:p>
          <w:p>
            <w:pPr>
              <w:numPr>
                <w:ilvl w:val="0"/>
                <w:numId w:val="2"/>
              </w:numPr>
            </w:pPr>
            <w:r>
              <w:rPr>
                <w:rFonts w:ascii="Arial" w:hAnsi="Arial" w:eastAsia="Arial" w:cs="Arial"/>
                <w:color w:val="#000"/>
                <w:sz w:val="24"/>
                <w:szCs w:val="24"/>
              </w:rPr>
              <w:t xml:space="preserve">6 noches de alojamiento en destino</w:t>
            </w:r>
          </w:p>
          <w:p>
            <w:pPr>
              <w:numPr>
                <w:ilvl w:val="0"/>
                <w:numId w:val="2"/>
              </w:numPr>
            </w:pPr>
            <w:r>
              <w:rPr>
                <w:rFonts w:ascii="Arial" w:hAnsi="Arial" w:eastAsia="Arial" w:cs="Arial"/>
                <w:color w:val="#000"/>
                <w:sz w:val="24"/>
                <w:szCs w:val="24"/>
              </w:rPr>
              <w:t xml:space="preserve">6 noches de alojamiento en destino</w:t>
            </w:r>
          </w:p>
          <w:p>
            <w:pPr>
              <w:numPr>
                <w:ilvl w:val="0"/>
                <w:numId w:val="2"/>
              </w:numPr>
            </w:pPr>
            <w:r>
              <w:rPr>
                <w:rFonts w:ascii="Arial" w:hAnsi="Arial" w:eastAsia="Arial" w:cs="Arial"/>
                <w:color w:val="#000"/>
                <w:sz w:val="24"/>
                <w:szCs w:val="24"/>
              </w:rPr>
              <w:t xml:space="preserve">1 noche en vuelo hasta EUROPA</w:t>
            </w:r>
          </w:p>
          <w:p>
            <w:pPr>
              <w:numPr>
                <w:ilvl w:val="0"/>
                <w:numId w:val="2"/>
              </w:numPr>
            </w:pPr>
            <w:r>
              <w:rPr>
                <w:rFonts w:ascii="Arial" w:hAnsi="Arial" w:eastAsia="Arial" w:cs="Arial"/>
                <w:color w:val="#000"/>
                <w:sz w:val="24"/>
                <w:szCs w:val="24"/>
              </w:rPr>
              <w:t xml:space="preserve">1 noche en vuelo hasta EUROPA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Londres y Paris</w:t>
            </w:r>
          </w:p>
          <w:p>
            <w:pPr>
              <w:numPr>
                <w:ilvl w:val="0"/>
                <w:numId w:val="2"/>
              </w:numPr>
            </w:pPr>
            <w:r>
              <w:rPr>
                <w:rFonts w:ascii="Arial" w:hAnsi="Arial" w:eastAsia="Arial" w:cs="Arial"/>
                <w:color w:val="#000"/>
                <w:sz w:val="24"/>
                <w:szCs w:val="24"/>
              </w:rPr>
              <w:t xml:space="preserve">Visita con guía local en Londres y Paris</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 Municipal en Paris</w:t>
            </w:r>
          </w:p>
          <w:p>
            <w:pPr>
              <w:numPr>
                <w:ilvl w:val="0"/>
                <w:numId w:val="2"/>
              </w:numPr>
            </w:pPr>
            <w:r>
              <w:rPr>
                <w:rFonts w:ascii="Arial" w:hAnsi="Arial" w:eastAsia="Arial" w:cs="Arial"/>
                <w:color w:val="#000"/>
                <w:sz w:val="24"/>
                <w:szCs w:val="24"/>
              </w:rPr>
              <w:t xml:space="preserve">Tasa Municipal en Paris</w:t>
            </w:r>
          </w:p>
          <w:p>
            <w:pPr>
              <w:numPr>
                <w:ilvl w:val="0"/>
                <w:numId w:val="2"/>
              </w:numPr>
            </w:pPr>
            <w:r>
              <w:rPr>
                <w:rFonts w:ascii="Arial" w:hAnsi="Arial" w:eastAsia="Arial" w:cs="Arial"/>
                <w:color w:val="#000"/>
                <w:sz w:val="24"/>
                <w:szCs w:val="24"/>
              </w:rPr>
              <w:t xml:space="preserve">Asistencia en Viajes de 60,00 USD para PAX de hasta 69 años. Incluye COVID 19</w:t>
            </w:r>
          </w:p>
          <w:p>
            <w:pPr>
              <w:numPr>
                <w:ilvl w:val="0"/>
                <w:numId w:val="2"/>
              </w:numPr>
            </w:pPr>
            <w:r>
              <w:rPr>
                <w:rFonts w:ascii="Arial" w:hAnsi="Arial" w:eastAsia="Arial" w:cs="Arial"/>
                <w:color w:val="#000"/>
                <w:sz w:val="24"/>
                <w:szCs w:val="24"/>
              </w:rPr>
              <w:t xml:space="preserve">Asistencia en Viajes de 60,00 USD para PAX de hasta 69 años. Incluye COVID 19</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2717</w:t>
            </w:r>
          </w:p>
        </w:tc>
        <w:tc>
          <w:tcPr>
            <w:tcW w:w="2000" w:type="dxa"/>
            <w:vAlign w:val="center"/>
            <w:vMerge w:val="restart"/>
          </w:tcPr>
          <w:p>
            <w:pPr>
              <w:jc w:val="center"/>
            </w:pPr>
            <w:r>
              <w:rPr>
                <w:color w:val="black"/>
                <w:sz w:val="18"/>
                <w:szCs w:val="18"/>
              </w:rPr>
              <w:t xml:space="preserve">1822</w:t>
            </w:r>
          </w:p>
        </w:tc>
        <w:tc>
          <w:tcPr>
            <w:tcW w:w="2000" w:type="dxa"/>
            <w:vAlign w:val="center"/>
            <w:vMerge w:val="restart"/>
          </w:tcPr>
          <w:p>
            <w:pPr>
              <w:jc w:val="center"/>
            </w:pPr>
            <w:r>
              <w:rPr>
                <w:color w:val="black"/>
                <w:sz w:val="18"/>
                <w:szCs w:val="18"/>
              </w:rPr>
              <w:t xml:space="preserve">1792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3454</w:t>
            </w:r>
          </w:p>
        </w:tc>
        <w:tc>
          <w:tcPr>
            <w:tcW w:w="2000" w:type="dxa"/>
            <w:vAlign w:val="center"/>
            <w:vMerge w:val="restart"/>
          </w:tcPr>
          <w:p>
            <w:pPr>
              <w:jc w:val="center"/>
            </w:pPr>
            <w:r>
              <w:rPr>
                <w:color w:val="black"/>
                <w:sz w:val="18"/>
                <w:szCs w:val="18"/>
              </w:rPr>
              <w:t xml:space="preserve">2204</w:t>
            </w:r>
          </w:p>
        </w:tc>
        <w:tc>
          <w:tcPr>
            <w:tcW w:w="2000" w:type="dxa"/>
            <w:vAlign w:val="center"/>
            <w:vMerge w:val="restart"/>
          </w:tcPr>
          <w:p>
            <w:pPr>
              <w:jc w:val="center"/>
            </w:pPr>
            <w:r>
              <w:rPr>
                <w:color w:val="black"/>
                <w:sz w:val="18"/>
                <w:szCs w:val="18"/>
              </w:rPr>
              <w:t xml:space="preserve">2167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2717</w:t>
            </w:r>
          </w:p>
        </w:tc>
        <w:tc>
          <w:tcPr>
            <w:tcW w:w="2000" w:type="dxa"/>
            <w:vAlign w:val="center"/>
            <w:vMerge w:val="restart"/>
          </w:tcPr>
          <w:p>
            <w:pPr>
              <w:jc w:val="center"/>
            </w:pPr>
            <w:r>
              <w:rPr>
                <w:color w:val="black"/>
                <w:sz w:val="18"/>
                <w:szCs w:val="18"/>
              </w:rPr>
              <w:t xml:space="preserve">1822</w:t>
            </w:r>
          </w:p>
        </w:tc>
        <w:tc>
          <w:tcPr>
            <w:tcW w:w="2000" w:type="dxa"/>
            <w:vAlign w:val="center"/>
            <w:vMerge w:val="restart"/>
          </w:tcPr>
          <w:p>
            <w:pPr>
              <w:jc w:val="center"/>
            </w:pPr>
            <w:r>
              <w:rPr>
                <w:color w:val="black"/>
                <w:sz w:val="18"/>
                <w:szCs w:val="18"/>
              </w:rPr>
              <w:t xml:space="preserve">1792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 / CIRCUITO / CIRCUITO / CIRCUITO / CIRCUITO / CIRCUITO / CIRCUITO / CIRCUITO</w:t>
            </w:r>
          </w:p>
        </w:tc>
        <w:tc>
          <w:tcPr>
            <w:tcW w:w="2000" w:type="dxa"/>
            <w:vAlign w:val="center"/>
            <w:vMerge w:val="restart"/>
          </w:tcPr>
          <w:p>
            <w:pPr>
              <w:jc w:val="center"/>
            </w:pPr>
            <w:r>
              <w:rPr>
                <w:color w:val="black"/>
                <w:sz w:val="18"/>
                <w:szCs w:val="18"/>
              </w:rPr>
              <w:t xml:space="preserve">02/11/2024</w:t>
            </w:r>
          </w:p>
        </w:tc>
        <w:tc>
          <w:tcPr>
            <w:tcW w:w="2000" w:type="dxa"/>
            <w:vAlign w:val="center"/>
            <w:vMerge w:val="restart"/>
          </w:tcPr>
          <w:p>
            <w:pPr>
              <w:jc w:val="center"/>
            </w:pPr>
            <w:r>
              <w:rPr>
                <w:color w:val="black"/>
                <w:sz w:val="18"/>
                <w:szCs w:val="18"/>
              </w:rPr>
              <w:t xml:space="preserve">28/03/2025</w:t>
            </w:r>
          </w:p>
        </w:tc>
        <w:tc>
          <w:tcPr>
            <w:tcW w:w="2000" w:type="dxa"/>
            <w:vAlign w:val="center"/>
            <w:vMerge w:val="restart"/>
          </w:tcPr>
          <w:p>
            <w:pPr>
              <w:jc w:val="center"/>
            </w:pPr>
            <w:r>
              <w:rPr>
                <w:color w:val="black"/>
                <w:sz w:val="18"/>
                <w:szCs w:val="18"/>
              </w:rPr>
              <w:t xml:space="preserve">2572</w:t>
            </w:r>
          </w:p>
        </w:tc>
        <w:tc>
          <w:tcPr>
            <w:tcW w:w="2000" w:type="dxa"/>
            <w:vAlign w:val="center"/>
            <w:vMerge w:val="restart"/>
          </w:tcPr>
          <w:p>
            <w:pPr>
              <w:jc w:val="center"/>
            </w:pPr>
            <w:r>
              <w:rPr>
                <w:color w:val="black"/>
                <w:sz w:val="18"/>
                <w:szCs w:val="18"/>
              </w:rPr>
              <w:t xml:space="preserve">1677</w:t>
            </w:r>
          </w:p>
        </w:tc>
        <w:tc>
          <w:tcPr>
            <w:tcW w:w="2000" w:type="dxa"/>
            <w:vAlign w:val="center"/>
            <w:vMerge w:val="restart"/>
          </w:tcPr>
          <w:p>
            <w:pPr>
              <w:jc w:val="center"/>
            </w:pPr>
            <w:r>
              <w:rPr>
                <w:color w:val="black"/>
                <w:sz w:val="18"/>
                <w:szCs w:val="18"/>
              </w:rPr>
              <w:t xml:space="preserve">1650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corresponde a la salida mas economica del programa, consultar por fechas especificas pues puede aplicar suplementos </w:t>
      </w:r>
    </w:p>
    <w:p>
      <w:pPr>
        <w:numPr>
          <w:ilvl w:val="0"/>
          <w:numId w:val="2"/>
        </w:numPr>
      </w:pPr>
      <w:r>
        <w:rPr>
          <w:rFonts w:ascii="Arial" w:hAnsi="Arial" w:eastAsia="Arial" w:cs="Arial"/>
          <w:color w:val="#000"/>
          <w:sz w:val="24"/>
          <w:szCs w:val="24"/>
        </w:rPr>
        <w:t xml:space="preserve"> Permite comprar hasta: 15 dias antes de la salida del circuito. </w:t>
      </w:r>
    </w:p>
    <w:p>
      <w:pPr>
        <w:numPr>
          <w:ilvl w:val="0"/>
          <w:numId w:val="2"/>
        </w:numPr>
      </w:pPr>
      <w:r>
        <w:rPr>
          <w:rFonts w:ascii="Arial" w:hAnsi="Arial" w:eastAsia="Arial" w:cs="Arial"/>
          <w:color w:val="#000"/>
          <w:sz w:val="24"/>
          <w:szCs w:val="24"/>
        </w:rPr>
        <w:t xml:space="preserve">El circuito sale los sábados </w:t>
      </w:r>
    </w:p>
    <w:p>
      <w:pPr>
        <w:numPr>
          <w:ilvl w:val="0"/>
          <w:numId w:val="2"/>
        </w:numPr>
      </w:pPr>
      <w:r>
        <w:rPr>
          <w:rFonts w:ascii="Arial" w:hAnsi="Arial" w:eastAsia="Arial" w:cs="Arial"/>
          <w:color w:val="#000"/>
          <w:sz w:val="24"/>
          <w:szCs w:val="24"/>
        </w:rPr>
        <w:t xml:space="preserve"> Permite viajar: Inicio de Viaje: 23 de marzo de 2024</w:t>
      </w:r>
    </w:p>
    <w:p>
      <w:pPr>
        <w:numPr>
          <w:ilvl w:val="0"/>
          <w:numId w:val="2"/>
        </w:numPr>
      </w:pPr>
      <w:r>
        <w:rPr>
          <w:rFonts w:ascii="Arial" w:hAnsi="Arial" w:eastAsia="Arial" w:cs="Arial"/>
          <w:color w:val="#000"/>
          <w:sz w:val="24"/>
          <w:szCs w:val="24"/>
        </w:rPr>
        <w:t xml:space="preserve"> Viaje Finalizado: 28 de marzo de 2025</w:t>
      </w:r>
    </w:p>
    <w:p>
      <w:pPr>
        <w:numPr>
          <w:ilvl w:val="0"/>
          <w:numId w:val="2"/>
        </w:numPr>
      </w:pPr>
      <w:r>
        <w:rPr>
          <w:rFonts w:ascii="Arial" w:hAnsi="Arial" w:eastAsia="Arial" w:cs="Arial"/>
          <w:color w:val="#000"/>
          <w:sz w:val="24"/>
          <w:szCs w:val="24"/>
        </w:rPr>
        <w:t xml:space="preserve">  Valor aplica por persona para un mínimo de 2 PAX, sujeto a disponibilidad al momento de reservar y a cambios sin previo aviso.</w:t>
      </w:r>
    </w:p>
    <w:p>
      <w:pPr>
        <w:numPr>
          <w:ilvl w:val="0"/>
          <w:numId w:val="2"/>
        </w:numPr>
      </w:pPr>
      <w:r>
        <w:rPr>
          <w:rFonts w:ascii="Arial" w:hAnsi="Arial" w:eastAsia="Arial" w:cs="Arial"/>
          <w:color w:val="#000"/>
          <w:sz w:val="24"/>
          <w:szCs w:val="24"/>
        </w:rPr>
        <w:t xml:space="preserve"> OPCIONALES NO están incluidas y que se pagan en destino: Día 3: Les recomendamos efectuar una excursión opcional para conocer el Castillo de Windsor, considerado como la mayor fortaleza habitada del mundo y foco histórico de Inglaterra, situado a 50 kms de la capital. Regresando a la ciudad visitar su parte más antigua, destruida en el incendio de 1666, para conocer la City de Londres, centro financiero mundial, Catedral de San Pablo, el famoso Puente de la Torre, y la fortaleza más antigua de Inglaterra: la Torre de Londres. Día 5: Posibilidad de realizar opcionalmente una visita de “París iluminado” y un crucero por el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pPr>
        <w:numPr>
          <w:ilvl w:val="0"/>
          <w:numId w:val="2"/>
        </w:numPr>
      </w:pPr>
      <w:r>
        <w:rPr>
          <w:rFonts w:ascii="Arial" w:hAnsi="Arial" w:eastAsia="Arial" w:cs="Arial"/>
          <w:color w:val="#000"/>
          <w:sz w:val="24"/>
          <w:szCs w:val="24"/>
        </w:rPr>
        <w:t xml:space="preserve"> Considerar noches pre y post al circuito</w:t>
      </w:r>
    </w:p>
    <w:p>
      <w:pPr>
        <w:numPr>
          <w:ilvl w:val="0"/>
          <w:numId w:val="2"/>
        </w:numPr>
      </w:pPr>
      <w:r>
        <w:rPr>
          <w:rFonts w:ascii="Arial" w:hAnsi="Arial" w:eastAsia="Arial" w:cs="Arial"/>
          <w:color w:val="#000"/>
          <w:sz w:val="24"/>
          <w:szCs w:val="24"/>
        </w:rPr>
        <w:t xml:space="preserve"> NO INCLUYE traslado out</w:t>
      </w:r>
    </w:p>
    <w:p>
      <w:pPr>
        <w:numPr>
          <w:ilvl w:val="0"/>
          <w:numId w:val="2"/>
        </w:numPr>
      </w:pPr>
      <w:r>
        <w:rPr>
          <w:rFonts w:ascii="Arial" w:hAnsi="Arial" w:eastAsia="Arial" w:cs="Arial"/>
          <w:color w:val="#000"/>
          <w:sz w:val="24"/>
          <w:szCs w:val="24"/>
        </w:rPr>
        <w:t xml:space="preserve">  Para políticas de niños, conculte con su ejecutivo de cuentas.</w:t>
      </w:r>
    </w:p>
    <w:p>
      <w:pPr>
        <w:numPr>
          <w:ilvl w:val="0"/>
          <w:numId w:val="2"/>
        </w:numPr>
      </w:pPr>
      <w:r>
        <w:rPr>
          <w:rFonts w:ascii="Arial" w:hAnsi="Arial" w:eastAsia="Arial" w:cs="Arial"/>
          <w:color w:val="#000"/>
          <w:sz w:val="24"/>
          <w:szCs w:val="24"/>
        </w:rPr>
        <w:t xml:space="preserve"> Durante la celebración de Olimpiadas en París, el alojamiento podría ser desviado a poblaciones cercanas.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6E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2024-05-18T09:02:02-04:00</dcterms:created>
  <dcterms:modified xsi:type="dcterms:W3CDTF">2024-05-18T09:02:02-04:00</dcterms:modified>
</cp:coreProperties>
</file>

<file path=docProps/custom.xml><?xml version="1.0" encoding="utf-8"?>
<Properties xmlns="http://schemas.openxmlformats.org/officeDocument/2006/custom-properties" xmlns:vt="http://schemas.openxmlformats.org/officeDocument/2006/docPropsVTypes"/>
</file>