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Praga Y Budapest</w:t>
            </w:r>
            <w:r>
              <w:rPr>
                <w:rFonts w:ascii="Arial" w:hAnsi="Arial" w:eastAsia="Arial" w:cs="Arial"/>
                <w:color w:val="#013785"/>
                <w:sz w:val="60"/>
                <w:szCs w:val="60"/>
                <w:i w:val="1"/>
                <w:iCs w:val="1"/>
              </w:rPr>
              <w:t xml:space="preserve"> / Republica Checa</w:t>
            </w:r>
          </w:p>
          <w:p>
            <w:pPr/>
            <w:r>
              <w:rPr>
                <w:rFonts w:ascii="Arial" w:hAnsi="Arial" w:eastAsia="Arial" w:cs="Arial"/>
                <w:color w:val="#013785"/>
                <w:sz w:val="30"/>
                <w:szCs w:val="30"/>
                <w:b w:val="1"/>
                <w:bCs w:val="1"/>
              </w:rPr>
              <w:t xml:space="preserve">5 días / 4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986</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 hotel en servicio compartido en Praga</w:t>
            </w:r>
          </w:p>
          <w:p>
            <w:pPr>
              <w:numPr>
                <w:ilvl w:val="0"/>
                <w:numId w:val="2"/>
              </w:numPr>
            </w:pPr>
            <w:r>
              <w:rPr>
                <w:rFonts w:ascii="Arial" w:hAnsi="Arial" w:eastAsia="Arial" w:cs="Arial"/>
                <w:color w:val="#000"/>
                <w:sz w:val="24"/>
                <w:szCs w:val="24"/>
              </w:rPr>
              <w:t xml:space="preserve">Transporte en autocar de lujo con wi-fi, gratuito</w:t>
            </w:r>
          </w:p>
          <w:p>
            <w:pPr>
              <w:numPr>
                <w:ilvl w:val="0"/>
                <w:numId w:val="2"/>
              </w:numPr>
            </w:pPr>
            <w:r>
              <w:rPr>
                <w:rFonts w:ascii="Arial" w:hAnsi="Arial" w:eastAsia="Arial" w:cs="Arial"/>
                <w:color w:val="#000"/>
                <w:sz w:val="24"/>
                <w:szCs w:val="24"/>
              </w:rPr>
              <w:t xml:space="preserve">4 noches de alojamiento en destino</w:t>
            </w:r>
          </w:p>
          <w:p>
            <w:pPr>
              <w:numPr>
                <w:ilvl w:val="0"/>
                <w:numId w:val="2"/>
              </w:numPr>
            </w:pPr>
            <w:r>
              <w:rPr>
                <w:rFonts w:ascii="Arial" w:hAnsi="Arial" w:eastAsia="Arial" w:cs="Arial"/>
                <w:color w:val="#000"/>
                <w:sz w:val="24"/>
                <w:szCs w:val="24"/>
              </w:rPr>
              <w:t xml:space="preserve">Desayuno buffet diario</w:t>
            </w:r>
          </w:p>
          <w:p>
            <w:pPr>
              <w:numPr>
                <w:ilvl w:val="0"/>
                <w:numId w:val="2"/>
              </w:numPr>
            </w:pPr>
            <w:r>
              <w:rPr>
                <w:rFonts w:ascii="Arial" w:hAnsi="Arial" w:eastAsia="Arial" w:cs="Arial"/>
                <w:color w:val="#000"/>
                <w:sz w:val="24"/>
                <w:szCs w:val="24"/>
              </w:rPr>
              <w:t xml:space="preserve">Guía acompañante</w:t>
            </w:r>
          </w:p>
          <w:p>
            <w:pPr>
              <w:numPr>
                <w:ilvl w:val="0"/>
                <w:numId w:val="2"/>
              </w:numPr>
            </w:pPr>
            <w:r>
              <w:rPr>
                <w:rFonts w:ascii="Arial" w:hAnsi="Arial" w:eastAsia="Arial" w:cs="Arial"/>
                <w:color w:val="#000"/>
                <w:sz w:val="24"/>
                <w:szCs w:val="24"/>
              </w:rPr>
              <w:t xml:space="preserve">Visita con guía local en Praga y Budapest</w:t>
            </w:r>
          </w:p>
          <w:p>
            <w:pPr>
              <w:numPr>
                <w:ilvl w:val="0"/>
                <w:numId w:val="2"/>
              </w:numPr>
            </w:pPr>
            <w:r>
              <w:rPr>
                <w:rFonts w:ascii="Arial" w:hAnsi="Arial" w:eastAsia="Arial" w:cs="Arial"/>
                <w:color w:val="#000"/>
                <w:sz w:val="24"/>
                <w:szCs w:val="24"/>
              </w:rPr>
              <w:t xml:space="preserve">Neceser de viaje con amenities</w:t>
            </w:r>
          </w:p>
          <w:p>
            <w:pPr>
              <w:numPr>
                <w:ilvl w:val="0"/>
                <w:numId w:val="2"/>
              </w:numPr>
            </w:pPr>
            <w:r>
              <w:rPr>
                <w:rFonts w:ascii="Arial" w:hAnsi="Arial" w:eastAsia="Arial" w:cs="Arial"/>
                <w:color w:val="#000"/>
                <w:sz w:val="24"/>
                <w:szCs w:val="24"/>
              </w:rPr>
              <w:t xml:space="preserve">Asistencia en Viajes de 60,00 USD para PAX de hasta 69 años. Incluye COVID 19</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r>
      <w:tr>
        <w:trPr/>
        <w:tc>
          <w:tcPr>
            <w:tcW w:w="2000" w:type="dxa"/>
            <w:vAlign w:val="center"/>
            <w:vMerge w:val="restart"/>
          </w:tcPr>
          <w:p>
            <w:pPr>
              <w:jc w:val="center"/>
            </w:pPr>
            <w:r>
              <w:rPr>
                <w:color w:val="black"/>
                <w:sz w:val="18"/>
                <w:szCs w:val="18"/>
              </w:rPr>
              <w:t xml:space="preserve">28/03/2024</w:t>
            </w:r>
          </w:p>
        </w:tc>
        <w:tc>
          <w:tcPr>
            <w:tcW w:w="2000" w:type="dxa"/>
            <w:vAlign w:val="center"/>
            <w:vMerge w:val="restart"/>
          </w:tcPr>
          <w:p>
            <w:pPr>
              <w:jc w:val="center"/>
            </w:pPr>
            <w:r>
              <w:rPr>
                <w:color w:val="black"/>
                <w:sz w:val="18"/>
                <w:szCs w:val="18"/>
              </w:rPr>
              <w:t xml:space="preserve">03/07/2024</w:t>
            </w:r>
          </w:p>
        </w:tc>
        <w:tc>
          <w:tcPr>
            <w:tcW w:w="2000" w:type="dxa"/>
            <w:vAlign w:val="center"/>
            <w:vMerge w:val="restart"/>
          </w:tcPr>
          <w:p>
            <w:pPr>
              <w:jc w:val="center"/>
            </w:pPr>
            <w:r>
              <w:rPr>
                <w:color w:val="black"/>
                <w:sz w:val="18"/>
                <w:szCs w:val="18"/>
              </w:rPr>
              <w:t xml:space="preserve">1512</w:t>
            </w:r>
          </w:p>
        </w:tc>
        <w:tc>
          <w:tcPr>
            <w:tcW w:w="2000" w:type="dxa"/>
            <w:vAlign w:val="center"/>
            <w:vMerge w:val="restart"/>
          </w:tcPr>
          <w:p>
            <w:pPr>
              <w:jc w:val="center"/>
            </w:pPr>
            <w:r>
              <w:rPr>
                <w:color w:val="black"/>
                <w:sz w:val="18"/>
                <w:szCs w:val="18"/>
              </w:rPr>
              <w:t xml:space="preserve">1078</w:t>
            </w:r>
          </w:p>
        </w:tc>
        <w:tc>
          <w:tcPr>
            <w:tcW w:w="2000" w:type="dxa"/>
            <w:vAlign w:val="center"/>
            <w:vMerge w:val="restart"/>
          </w:tcPr>
          <w:p>
            <w:pPr>
              <w:jc w:val="center"/>
            </w:pPr>
            <w:r>
              <w:rPr>
                <w:color w:val="black"/>
                <w:sz w:val="18"/>
                <w:szCs w:val="18"/>
              </w:rPr>
              <w:t xml:space="preserve">1060</w:t>
            </w:r>
          </w:p>
        </w:tc>
      </w:tr>
      <w:tr>
        <w:trPr/>
        <w:tc>
          <w:tcPr>
            <w:tcW w:w="2000" w:type="dxa"/>
            <w:vAlign w:val="center"/>
            <w:vMerge w:val="restart"/>
          </w:tcPr>
          <w:p>
            <w:pPr>
              <w:jc w:val="center"/>
            </w:pPr>
            <w:r>
              <w:rPr>
                <w:color w:val="black"/>
                <w:sz w:val="18"/>
                <w:szCs w:val="18"/>
              </w:rPr>
              <w:t xml:space="preserve">04/07/2024</w:t>
            </w:r>
          </w:p>
        </w:tc>
        <w:tc>
          <w:tcPr>
            <w:tcW w:w="2000" w:type="dxa"/>
            <w:vAlign w:val="center"/>
            <w:vMerge w:val="restart"/>
          </w:tcPr>
          <w:p>
            <w:pPr>
              <w:jc w:val="center"/>
            </w:pPr>
            <w:r>
              <w:rPr>
                <w:color w:val="black"/>
                <w:sz w:val="18"/>
                <w:szCs w:val="18"/>
              </w:rPr>
              <w:t xml:space="preserve">28/07/2024</w:t>
            </w:r>
          </w:p>
        </w:tc>
        <w:tc>
          <w:tcPr>
            <w:tcW w:w="2000" w:type="dxa"/>
            <w:vAlign w:val="center"/>
            <w:vMerge w:val="restart"/>
          </w:tcPr>
          <w:p>
            <w:pPr>
              <w:jc w:val="center"/>
            </w:pPr>
            <w:r>
              <w:rPr>
                <w:color w:val="black"/>
                <w:sz w:val="18"/>
                <w:szCs w:val="18"/>
              </w:rPr>
              <w:t xml:space="preserve">1460</w:t>
            </w:r>
          </w:p>
        </w:tc>
        <w:tc>
          <w:tcPr>
            <w:tcW w:w="2000" w:type="dxa"/>
            <w:vAlign w:val="center"/>
            <w:vMerge w:val="restart"/>
          </w:tcPr>
          <w:p>
            <w:pPr>
              <w:jc w:val="center"/>
            </w:pPr>
            <w:r>
              <w:rPr>
                <w:color w:val="black"/>
                <w:sz w:val="18"/>
                <w:szCs w:val="18"/>
              </w:rPr>
              <w:t xml:space="preserve">1025</w:t>
            </w:r>
          </w:p>
        </w:tc>
        <w:tc>
          <w:tcPr>
            <w:tcW w:w="2000" w:type="dxa"/>
            <w:vAlign w:val="center"/>
            <w:vMerge w:val="restart"/>
          </w:tcPr>
          <w:p>
            <w:pPr>
              <w:jc w:val="center"/>
            </w:pPr>
            <w:r>
              <w:rPr>
                <w:color w:val="black"/>
                <w:sz w:val="18"/>
                <w:szCs w:val="18"/>
              </w:rPr>
              <w:t xml:space="preserve">1009</w:t>
            </w:r>
          </w:p>
        </w:tc>
      </w:tr>
      <w:tr>
        <w:trPr/>
        <w:tc>
          <w:tcPr>
            <w:tcW w:w="2000" w:type="dxa"/>
            <w:vAlign w:val="center"/>
            <w:vMerge w:val="restart"/>
          </w:tcPr>
          <w:p>
            <w:pPr>
              <w:jc w:val="center"/>
            </w:pPr>
            <w:r>
              <w:rPr>
                <w:color w:val="black"/>
                <w:sz w:val="18"/>
                <w:szCs w:val="18"/>
              </w:rPr>
              <w:t xml:space="preserve">29/08/2024</w:t>
            </w:r>
          </w:p>
        </w:tc>
        <w:tc>
          <w:tcPr>
            <w:tcW w:w="2000" w:type="dxa"/>
            <w:vAlign w:val="center"/>
            <w:vMerge w:val="restart"/>
          </w:tcPr>
          <w:p>
            <w:pPr>
              <w:jc w:val="center"/>
            </w:pPr>
            <w:r>
              <w:rPr>
                <w:color w:val="black"/>
                <w:sz w:val="18"/>
                <w:szCs w:val="18"/>
              </w:rPr>
              <w:t xml:space="preserve">30/10/2024</w:t>
            </w:r>
          </w:p>
        </w:tc>
        <w:tc>
          <w:tcPr>
            <w:tcW w:w="2000" w:type="dxa"/>
            <w:vAlign w:val="center"/>
            <w:vMerge w:val="restart"/>
          </w:tcPr>
          <w:p>
            <w:pPr>
              <w:jc w:val="center"/>
            </w:pPr>
            <w:r>
              <w:rPr>
                <w:color w:val="black"/>
                <w:sz w:val="18"/>
                <w:szCs w:val="18"/>
              </w:rPr>
              <w:t xml:space="preserve">1512</w:t>
            </w:r>
          </w:p>
        </w:tc>
        <w:tc>
          <w:tcPr>
            <w:tcW w:w="2000" w:type="dxa"/>
            <w:vAlign w:val="center"/>
            <w:vMerge w:val="restart"/>
          </w:tcPr>
          <w:p>
            <w:pPr>
              <w:jc w:val="center"/>
            </w:pPr>
            <w:r>
              <w:rPr>
                <w:color w:val="black"/>
                <w:sz w:val="18"/>
                <w:szCs w:val="18"/>
              </w:rPr>
              <w:t xml:space="preserve">1078</w:t>
            </w:r>
          </w:p>
        </w:tc>
        <w:tc>
          <w:tcPr>
            <w:tcW w:w="2000" w:type="dxa"/>
            <w:vAlign w:val="center"/>
            <w:vMerge w:val="restart"/>
          </w:tcPr>
          <w:p>
            <w:pPr>
              <w:jc w:val="center"/>
            </w:pPr>
            <w:r>
              <w:rPr>
                <w:color w:val="black"/>
                <w:sz w:val="18"/>
                <w:szCs w:val="18"/>
              </w:rPr>
              <w:t xml:space="preserve">1060</w:t>
            </w:r>
          </w:p>
        </w:tc>
      </w:tr>
      <w:tr>
        <w:trPr/>
        <w:tc>
          <w:tcPr>
            <w:tcW w:w="2000" w:type="dxa"/>
            <w:vAlign w:val="center"/>
            <w:vMerge w:val="restart"/>
          </w:tcPr>
          <w:p>
            <w:pPr>
              <w:jc w:val="center"/>
            </w:pPr>
            <w:r>
              <w:rPr>
                <w:color w:val="black"/>
                <w:sz w:val="18"/>
                <w:szCs w:val="18"/>
              </w:rPr>
              <w:t xml:space="preserve">31/10/2024</w:t>
            </w:r>
          </w:p>
        </w:tc>
        <w:tc>
          <w:tcPr>
            <w:tcW w:w="2000" w:type="dxa"/>
            <w:vAlign w:val="center"/>
            <w:vMerge w:val="restart"/>
          </w:tcPr>
          <w:p>
            <w:pPr>
              <w:jc w:val="center"/>
            </w:pPr>
            <w:r>
              <w:rPr>
                <w:color w:val="black"/>
                <w:sz w:val="18"/>
                <w:szCs w:val="18"/>
              </w:rPr>
              <w:t xml:space="preserve">26/03/2025</w:t>
            </w:r>
          </w:p>
        </w:tc>
        <w:tc>
          <w:tcPr>
            <w:tcW w:w="2000" w:type="dxa"/>
            <w:vAlign w:val="center"/>
            <w:vMerge w:val="restart"/>
          </w:tcPr>
          <w:p>
            <w:pPr>
              <w:jc w:val="center"/>
            </w:pPr>
            <w:r>
              <w:rPr>
                <w:color w:val="black"/>
                <w:sz w:val="18"/>
                <w:szCs w:val="18"/>
              </w:rPr>
              <w:t xml:space="preserve">1420</w:t>
            </w:r>
          </w:p>
        </w:tc>
        <w:tc>
          <w:tcPr>
            <w:tcW w:w="2000" w:type="dxa"/>
            <w:vAlign w:val="center"/>
            <w:vMerge w:val="restart"/>
          </w:tcPr>
          <w:p>
            <w:pPr>
              <w:jc w:val="center"/>
            </w:pPr>
            <w:r>
              <w:rPr>
                <w:color w:val="black"/>
                <w:sz w:val="18"/>
                <w:szCs w:val="18"/>
              </w:rPr>
              <w:t xml:space="preserve">986</w:t>
            </w:r>
          </w:p>
        </w:tc>
        <w:tc>
          <w:tcPr>
            <w:tcW w:w="2000" w:type="dxa"/>
            <w:vAlign w:val="center"/>
            <w:vMerge w:val="restart"/>
          </w:tcPr>
          <w:p>
            <w:pPr>
              <w:jc w:val="center"/>
            </w:pPr>
            <w:r>
              <w:rPr>
                <w:color w:val="black"/>
                <w:sz w:val="18"/>
                <w:szCs w:val="18"/>
              </w:rPr>
              <w:t xml:space="preserve">970</w:t>
            </w:r>
          </w:p>
        </w:tc>
      </w:tr>
    </w:tbl>
    <w:p>
      <w:pPr>
        <w:jc w:val="left"/>
      </w:pPr>
      <w:r>
        <w:rPr>
          <w:rFonts w:ascii="Arial" w:hAnsi="Arial" w:eastAsia="Arial" w:cs="Arial"/>
          <w:color w:val="#013785"/>
          <w:sz w:val="40"/>
          <w:szCs w:val="40"/>
          <w:b w:val="1"/>
          <w:bCs w:val="1"/>
          <w:i w:val="1"/>
          <w:iCs w:val="1"/>
        </w:rPr>
        <w:t xml:space="preserve">Hoteles</w:t>
      </w:r>
    </w:p>
    <w:tbl>
      <w:tblGrid>
        <w:gridCol/>
        <w:gridCol/>
      </w:tblGrid>
      <w:tblPr>
        <w:jc w:val="start"/>
        <w:tblW w:w="5000" w:type="pct"/>
        <w:tblLayout w:type="autofit"/>
        <w:tblBorders>
          <w:top w:val="single" w:sz="4.5" w:color="000000"/>
          <w:left w:val="single" w:sz="4.5" w:color="000000"/>
          <w:right w:val="single" w:sz="4.5" w:color="000000"/>
          <w:bottom w:val="single" w:sz="4.5" w:color="000000"/>
          <w:insideH w:val="single" w:sz="4.5" w:color="000000"/>
          <w:insideV w:val="single" w:sz="4.5" w:color="000000"/>
        </w:tblBorders>
      </w:tblPr>
      <w:tr>
        <w:trPr/>
        <w:tc>
          <w:tcPr>
            <w:tcBorders>
              <w:top w:val="single" w:sz="4.5" w:color="000000"/>
              <w:left w:val="single" w:sz="4.5" w:color="000000"/>
              <w:right w:val="single" w:sz="4.5" w:color="000000"/>
              <w:bottom w:val="single" w:sz="4.5" w:color="000000"/>
            </w:tcBorders>
            <w:shd w:val="clear" w:fill="013785"/>
          </w:tcPr>
          <w:p>
            <w:pPr>
              <w:jc w:val="center"/>
            </w:pPr>
            <w:r>
              <w:rPr>
                <w:color w:val="FFFFFF"/>
                <w:b w:val="1"/>
                <w:bCs w:val="1"/>
                <w:shd w:val="clear" w:fill="013785"/>
              </w:rPr>
              <w:t xml:space="preserve">Ciudad</w:t>
            </w:r>
          </w:p>
        </w:tc>
        <w:tc>
          <w:tcPr>
            <w:tcBorders>
              <w:top w:val="single" w:sz="4.5" w:color="000000"/>
              <w:left w:val="single" w:sz="4.5" w:color="000000"/>
              <w:right w:val="single" w:sz="4.5" w:color="000000"/>
              <w:bottom w:val="single" w:sz="4.5" w:color="000000"/>
            </w:tcBorders>
            <w:shd w:val="clear" w:fill="013785"/>
          </w:tcPr>
          <w:p>
            <w:pPr>
              <w:jc w:val="center"/>
            </w:pPr>
            <w:r>
              <w:rPr>
                <w:color w:val="FFFFFF"/>
                <w:b w:val="1"/>
                <w:bCs w:val="1"/>
                <w:shd w:val="clear" w:fill="013785"/>
              </w:rPr>
              <w:t xml:space="preserve">Hotel</w:t>
            </w:r>
          </w:p>
        </w:tc>
      </w:tr>
      <w:tr>
        <w:trPr/>
        <w:tc>
          <w:tcPr>
            <w:tcBorders>
              <w:top w:val="single" w:sz="4.5" w:color="000000"/>
              <w:left w:val="single" w:sz="4.5" w:color="000000"/>
              <w:right w:val="single" w:sz="4.5" w:color="000000"/>
              <w:bottom w:val="single" w:sz="4.5" w:color="000000"/>
            </w:tcBorders>
          </w:tcPr>
          <w:p>
            <w:pPr>
              <w:jc w:val="center"/>
            </w:pPr>
            <w:r>
              <w:rPr/>
              <w:t xml:space="preserve">Praga</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Duo                                 P</w:t>
            </w:r>
          </w:p>
          <w:p>
            <w:pPr>
              <w:jc w:val="center"/>
              <w:pBdr>
                <w:top w:val="single" w:sz="4.5" w:color="000000"/>
                <w:left w:val="single" w:sz="4.5" w:color="000000"/>
                <w:right w:val="single" w:sz="4.5" w:color="000000"/>
                <w:bottom w:val="single" w:sz="4.5" w:color="000000"/>
              </w:pBdr>
            </w:pPr>
            <w:r>
              <w:rPr/>
              <w:t xml:space="preserve">Clarion Congress            P</w:t>
            </w:r>
          </w:p>
          <w:p>
            <w:pPr>
              <w:jc w:val="center"/>
              <w:pBdr>
                <w:top w:val="single" w:sz="4.5" w:color="000000"/>
                <w:left w:val="single" w:sz="4.5" w:color="000000"/>
                <w:right w:val="single" w:sz="4.5" w:color="000000"/>
                <w:bottom w:val="single" w:sz="4.5" w:color="000000"/>
              </w:pBdr>
            </w:pPr>
            <w:r>
              <w:rPr/>
              <w:t xml:space="preserve">Panorama Hotel Prague P</w:t>
            </w:r>
          </w:p>
        </w:tc>
      </w:tr>
      <w:tr>
        <w:trPr/>
        <w:tc>
          <w:tcPr>
            <w:tcBorders>
              <w:top w:val="single" w:sz="4.5" w:color="000000"/>
              <w:left w:val="single" w:sz="4.5" w:color="000000"/>
              <w:right w:val="single" w:sz="4.5" w:color="000000"/>
              <w:bottom w:val="single" w:sz="4.5" w:color="000000"/>
            </w:tcBorders>
          </w:tcPr>
          <w:p>
            <w:pPr/>
            <w:r>
              <w:rPr/>
              <w:t xml:space="preserve">Budapest</w:t>
            </w:r>
          </w:p>
        </w:tc>
        <w:tc>
          <w:tcPr>
            <w:tcBorders>
              <w:top w:val="single" w:sz="4.5" w:color="000000"/>
              <w:left w:val="single" w:sz="4.5" w:color="000000"/>
              <w:right w:val="single" w:sz="4.5" w:color="000000"/>
              <w:bottom w:val="single" w:sz="4.5" w:color="000000"/>
            </w:tcBorders>
          </w:tcPr>
          <w:p>
            <w:pPr>
              <w:jc w:val="center"/>
            </w:pPr>
            <w:r>
              <w:rPr/>
              <w:t xml:space="preserve">Dormero Hotel Budapest P</w:t>
            </w:r>
          </w:p>
        </w:tc>
      </w:tr>
      <w:tr>
        <w:trPr/>
        <w:tc>
          <w:tcPr>
            <w:tcBorders>
              <w:top w:val="single" w:sz="4.5" w:color="000000"/>
              <w:left w:val="single" w:sz="4.5" w:color="000000"/>
              <w:right w:val="single" w:sz="4.5" w:color="000000"/>
              <w:bottom w:val="single" w:sz="4.5" w:color="000000"/>
            </w:tcBorders>
          </w:tcPr>
          <w:p>
            <w:pPr>
              <w:jc w:val="center"/>
            </w:pPr>
            <w:r>
              <w:rPr/>
              <w:t xml:space="preserve">Novotel Budapest City     P</w:t>
            </w:r>
          </w:p>
        </w:tc>
      </w:tr>
    </w:tbl>
    <w:p>
      <w:pPr/>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t xml:space="preserve"> </w:t>
      </w:r>
    </w:p>
    <w:p>
      <w:pPr/>
      <w:r>
        <w:rPr>
          <w:b w:val="1"/>
          <w:bCs w:val="1"/>
        </w:rPr>
        <w:t xml:space="preserve">Día 1º PRAGA (Jueves)</w:t>
      </w:r>
    </w:p>
    <w:p>
      <w:pPr/>
      <w:r>
        <w:rPr/>
        <w:t xml:space="preserve">Llegada al aeropuerto internacional de Praga-Ruzyne. Asistencia y traslado al hotel. Alojamiento. Visita panorámica recorriendo la Plaza Vieja con su Ayuntamiento y el famoso Reloj Astronómico que data de 1410, cuyas figuras se mueven cada vez que da la hora, Iglesia del Tyn, Iglesia de San Nicolas, Torre de la Pólvora, Plaza de Wenceslao, Teatro Estatal..</w:t>
      </w:r>
    </w:p>
    <w:p>
      <w:pPr/>
      <w:r>
        <w:rPr>
          <w:b w:val="1"/>
          <w:bCs w:val="1"/>
        </w:rPr>
        <w:t xml:space="preserve">Día 2º PRAGA (Viernes)</w:t>
      </w:r>
    </w:p>
    <w:p>
      <w:pPr/>
      <w:r>
        <w:rPr/>
        <w:t xml:space="preserve">Alojamiento y desayuno. Dia libre a su disposición para disfrutar de la ciudad o realizar algunas de las visitas opcionales que se le ofrecerán.</w:t>
      </w:r>
    </w:p>
    <w:p>
      <w:pPr/>
      <w:r>
        <w:rPr>
          <w:b w:val="1"/>
          <w:bCs w:val="1"/>
        </w:rPr>
        <w:t xml:space="preserve">Día 3º PRAGA-BRATISLAVA-BUDAPEST (533 kms (Sábado)</w:t>
      </w:r>
    </w:p>
    <w:p>
      <w:pPr/>
      <w:r>
        <w:rPr/>
        <w:t xml:space="preserve">Desayuno. Salida via Brno hacia Bratislava, capital de Eslovaquia. Breve parada para pasear por sus</w:t>
      </w:r>
    </w:p>
    <w:p>
      <w:pPr/>
      <w:r>
        <w:rPr/>
        <w:t xml:space="preserve">pequeñas calles, descubrir sus famosas escultoras populares, iglesia de San Martin y Puerta de San</w:t>
      </w:r>
    </w:p>
    <w:p>
      <w:pPr/>
      <w:r>
        <w:rPr/>
        <w:t xml:space="preserve">Miguel. Continuación del viaje para entrar en Hungría y llegar a la capital, Budapest. Alojamiento. Tiempo libre y posibilidad de realizar una excursión opcional. </w:t>
      </w:r>
    </w:p>
    <w:p>
      <w:pPr/>
      <w:r>
        <w:rPr>
          <w:b w:val="1"/>
          <w:bCs w:val="1"/>
        </w:rPr>
        <w:t xml:space="preserve">Día 4º BUDAPEST (Domingo)</w:t>
      </w:r>
    </w:p>
    <w:p>
      <w:pPr/>
      <w:r>
        <w:rPr/>
        <w:t xml:space="preserve">Alojamiento y desayuno. Visita panorámica de esta singular ciudad, fruto de la unión en 1873 de las antiguas Buda y Pest. Recorriendo la orilla de Pest, famosa por sus bulevares, teatro de la opera, Parlamento Húngaro, Sinagoga y Basílica de San Esteban. En la orilla de Buda subiremos a su colina donde se encuentra el Palacio Real, la Iglesia de Matías yel Bastión de los Pescadores para contemplar una bella panorámica del río Danubio. Por la noche se ofrecerá opcionalmente una cena folklórica húngara.</w:t>
      </w:r>
    </w:p>
    <w:p>
      <w:pPr/>
      <w:r>
        <w:rPr>
          <w:b w:val="1"/>
          <w:bCs w:val="1"/>
        </w:rPr>
        <w:t xml:space="preserve">Día 5º BUDAPEST (Lunes)</w:t>
      </w:r>
    </w:p>
    <w:p>
      <w:pPr/>
      <w:r>
        <w:rPr/>
        <w:t xml:space="preserve">Desayuno. Fin de los servicios.</w:t>
      </w:r>
    </w:p>
    <w:p>
      <w:pPr/>
      <w:r>
        <w:rPr>
          <w:b w:val="1"/>
          <w:bCs w:val="1"/>
        </w:rPr>
        <w:t xml:space="preserve">OPCIONALES</w:t>
      </w:r>
    </w:p>
    <w:p>
      <w:pPr/>
      <w:r>
        <w:rPr/>
        <w:t xml:space="preserve">Día 2: La Colina del Castillo, para visitar el interior de la Catedral de San Vito, la calle dorada, Palacio Imperial, visitaremos la Iglesia de Santa Maria de la Victoria, conocida como la icónica Iglesia del Niño Jesús de Praga, para finalizar en el Puente de Carlos..</w:t>
      </w:r>
    </w:p>
    <w:p>
      <w:pPr/>
      <w:r>
        <w:rPr/>
        <w:t xml:space="preserve">Día 3: Excursión opcional de Budapest iluminado, desde la colina de San Gerardo y un crucero por el Danubio.</w:t>
      </w:r>
    </w:p>
    <w:p>
      <w:pPr/>
      <w:r>
        <w:rPr/>
        <w:t xml:space="preserve">Día 4: Por la noche se ofrecerá opcionalmente una cena folklórica húngara, donde degustará la gastronomía del país disfrutando a su vez de los típicos bailes folklóricos húngaros y zíngaros.</w:t>
      </w:r>
    </w:p>
    <w:p>
      <w:pPr/>
      <w:r>
        <w:rPr/>
        <w:t xml:space="preserve"> </w:t>
      </w:r>
    </w:p>
    <w:p>
      <w:pPr>
        <w:sectPr>
          <w:footerReference w:type="default" r:id="rId12"/>
          <w:pgSz w:orient="portrait" w:w="11905.511811023622" w:h="16837.79527559055"/>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Valor corresponde a la salida mas economica del programa, consultar por fechas especificas pues puede aplicar suplementos </w:t>
      </w:r>
    </w:p>
    <w:p>
      <w:pPr>
        <w:numPr>
          <w:ilvl w:val="0"/>
          <w:numId w:val="2"/>
        </w:numPr>
      </w:pPr>
      <w:r>
        <w:rPr>
          <w:rFonts w:ascii="Arial" w:hAnsi="Arial" w:eastAsia="Arial" w:cs="Arial"/>
          <w:color w:val="#000"/>
          <w:sz w:val="24"/>
          <w:szCs w:val="24"/>
        </w:rPr>
        <w:t xml:space="preserve"> Permite comprar hasta: 15 dias antes de la salida del circuito. </w:t>
      </w:r>
    </w:p>
    <w:p>
      <w:pPr>
        <w:numPr>
          <w:ilvl w:val="0"/>
          <w:numId w:val="2"/>
        </w:numPr>
      </w:pPr>
      <w:r>
        <w:rPr>
          <w:rFonts w:ascii="Arial" w:hAnsi="Arial" w:eastAsia="Arial" w:cs="Arial"/>
          <w:color w:val="#000"/>
          <w:sz w:val="24"/>
          <w:szCs w:val="24"/>
        </w:rPr>
        <w:t xml:space="preserve">Deben llegar a Praga un día miércoles porque el circuito sale los jueves </w:t>
      </w:r>
    </w:p>
    <w:p>
      <w:pPr>
        <w:numPr>
          <w:ilvl w:val="0"/>
          <w:numId w:val="2"/>
        </w:numPr>
      </w:pPr>
      <w:r>
        <w:rPr>
          <w:rFonts w:ascii="Arial" w:hAnsi="Arial" w:eastAsia="Arial" w:cs="Arial"/>
          <w:color w:val="#000"/>
          <w:sz w:val="24"/>
          <w:szCs w:val="24"/>
        </w:rPr>
        <w:t xml:space="preserve"> Permite viajar: Inicio de Viaje: 28 de marzo 2024 </w:t>
      </w:r>
    </w:p>
    <w:p>
      <w:pPr>
        <w:numPr>
          <w:ilvl w:val="0"/>
          <w:numId w:val="2"/>
        </w:numPr>
      </w:pPr>
      <w:r>
        <w:rPr>
          <w:rFonts w:ascii="Arial" w:hAnsi="Arial" w:eastAsia="Arial" w:cs="Arial"/>
          <w:color w:val="#000"/>
          <w:sz w:val="24"/>
          <w:szCs w:val="24"/>
        </w:rPr>
        <w:t xml:space="preserve"> Viaje Finalizado: 26 de marzo de 2025</w:t>
      </w:r>
    </w:p>
    <w:p>
      <w:pPr>
        <w:numPr>
          <w:ilvl w:val="0"/>
          <w:numId w:val="2"/>
        </w:numPr>
      </w:pPr>
      <w:r>
        <w:rPr>
          <w:rFonts w:ascii="Arial" w:hAnsi="Arial" w:eastAsia="Arial" w:cs="Arial"/>
          <w:color w:val="#000"/>
          <w:sz w:val="24"/>
          <w:szCs w:val="24"/>
        </w:rPr>
        <w:t xml:space="preserve">  Valor aplica por persona para un mínimo de 2 PAX, sujeto a disponibilidad al momento de reservar y a cambios sin previo aviso.</w:t>
      </w:r>
    </w:p>
    <w:p>
      <w:pPr>
        <w:numPr>
          <w:ilvl w:val="0"/>
          <w:numId w:val="2"/>
        </w:numPr>
      </w:pPr>
      <w:r>
        <w:rPr>
          <w:rFonts w:ascii="Arial" w:hAnsi="Arial" w:eastAsia="Arial" w:cs="Arial"/>
          <w:color w:val="#000"/>
          <w:sz w:val="24"/>
          <w:szCs w:val="24"/>
        </w:rPr>
        <w:t xml:space="preserve"> OPCIONALES NO están incluidas y que se pagan en destino: Día 2: La Colina del Castillo, para visitar el interior de la Catedral de San Vito, la calle dorada, Palacio Imperial, visitaremos la Iglesia de Santa Maria de la Victoria, conocida como la icónica Iglesia del Niño Jesús de Praga, para finalizar en el Puente de Carlos. Día 3: Excursión opcional de Budapest iluminado, desde la colina de San Gerardo y un crucero por el Danubio. Día 4: Por la noche se ofrecerá opcionalmente una cena folklórica húngara, donde degustará la gastronomía del país disfrutando a su vez de los típicos bailes folklóricos húngaros y zíngaros. </w:t>
      </w:r>
    </w:p>
    <w:p>
      <w:pPr>
        <w:numPr>
          <w:ilvl w:val="0"/>
          <w:numId w:val="2"/>
        </w:numPr>
      </w:pPr>
      <w:r>
        <w:rPr>
          <w:rFonts w:ascii="Arial" w:hAnsi="Arial" w:eastAsia="Arial" w:cs="Arial"/>
          <w:color w:val="#000"/>
          <w:sz w:val="24"/>
          <w:szCs w:val="24"/>
        </w:rPr>
        <w:t xml:space="preserve"> Considerar noches pre y post al circuito</w:t>
      </w:r>
    </w:p>
    <w:p>
      <w:pPr>
        <w:numPr>
          <w:ilvl w:val="0"/>
          <w:numId w:val="2"/>
        </w:numPr>
      </w:pPr>
      <w:r>
        <w:rPr>
          <w:rFonts w:ascii="Arial" w:hAnsi="Arial" w:eastAsia="Arial" w:cs="Arial"/>
          <w:color w:val="#000"/>
          <w:sz w:val="24"/>
          <w:szCs w:val="24"/>
        </w:rPr>
        <w:t xml:space="preserve"> NO INCLUYE traslado out</w:t>
      </w:r>
    </w:p>
    <w:p>
      <w:pPr>
        <w:numPr>
          <w:ilvl w:val="0"/>
          <w:numId w:val="2"/>
        </w:numPr>
      </w:pPr>
      <w:r>
        <w:rPr>
          <w:rFonts w:ascii="Arial" w:hAnsi="Arial" w:eastAsia="Arial" w:cs="Arial"/>
          <w:color w:val="#000"/>
          <w:sz w:val="24"/>
          <w:szCs w:val="24"/>
        </w:rPr>
        <w:t xml:space="preserve">  Para políticas de niños, conculte con su ejecutivo de cuentas.</w:t>
      </w:r>
    </w:p>
    <w:p>
      <w:pPr>
        <w:numPr>
          <w:ilvl w:val="0"/>
          <w:numId w:val="2"/>
        </w:numPr>
      </w:pPr>
      <w:r>
        <w:rPr>
          <w:rFonts w:ascii="Arial" w:hAnsi="Arial" w:eastAsia="Arial" w:cs="Arial"/>
          <w:color w:val="#000"/>
          <w:sz w:val="24"/>
          <w:szCs w:val="24"/>
        </w:rPr>
        <w:t xml:space="preserve"> Supl. media pensión (4 cenas</w:t>
      </w:r>
    </w:p>
    <w:p>
      <w:pPr>
        <w:numPr>
          <w:ilvl w:val="0"/>
          <w:numId w:val="2"/>
        </w:numPr>
      </w:pPr>
      <w:r>
        <w:rPr>
          <w:rFonts w:ascii="Arial" w:hAnsi="Arial" w:eastAsia="Arial" w:cs="Arial"/>
          <w:color w:val="#000"/>
          <w:sz w:val="24"/>
          <w:szCs w:val="24"/>
        </w:rPr>
        <w:t xml:space="preserve">almuerzos): 211 USD</w:t>
      </w:r>
    </w:p>
    <w:p>
      <w:pPr>
        <w:numPr>
          <w:ilvl w:val="0"/>
          <w:numId w:val="2"/>
        </w:numPr>
      </w:pPr>
      <w:r>
        <w:rPr>
          <w:rFonts w:ascii="Arial" w:hAnsi="Arial" w:eastAsia="Arial" w:cs="Arial"/>
          <w:color w:val="#000"/>
          <w:sz w:val="24"/>
          <w:szCs w:val="24"/>
        </w:rPr>
        <w:t xml:space="preserve">PAX.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AE3C6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2024-05-15T12:21:08-04:00</dcterms:created>
  <dcterms:modified xsi:type="dcterms:W3CDTF">2024-05-15T12:21:08-04:00</dcterms:modified>
</cp:coreProperties>
</file>

<file path=docProps/custom.xml><?xml version="1.0" encoding="utf-8"?>
<Properties xmlns="http://schemas.openxmlformats.org/officeDocument/2006/custom-properties" xmlns:vt="http://schemas.openxmlformats.org/officeDocument/2006/docPropsVTypes"/>
</file>