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Ciudades Imperiales</w:t>
            </w:r>
            <w:r>
              <w:rPr>
                <w:rFonts w:ascii="Arial" w:hAnsi="Arial" w:eastAsia="Arial" w:cs="Arial"/>
                <w:color w:val="#013785"/>
                <w:sz w:val="60"/>
                <w:szCs w:val="60"/>
                <w:i w:val="1"/>
                <w:iCs w:val="1"/>
              </w:rPr>
              <w:t xml:space="preserve"> / Republica Checa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1.361</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 en Praga</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6 noches de alojamiento en destino + 1 Nochede Viaje a bordo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Praga, Budapest y Viena.</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20/03/2024</w:t>
            </w:r>
          </w:p>
        </w:tc>
        <w:tc>
          <w:tcPr>
            <w:tcW w:w="2000" w:type="dxa"/>
            <w:vAlign w:val="center"/>
            <w:vMerge w:val="restart"/>
          </w:tcPr>
          <w:p>
            <w:pPr>
              <w:jc w:val="center"/>
            </w:pPr>
            <w:r>
              <w:rPr>
                <w:color w:val="black"/>
                <w:sz w:val="18"/>
                <w:szCs w:val="18"/>
              </w:rPr>
              <w:t xml:space="preserve">02/07/2024</w:t>
            </w:r>
          </w:p>
        </w:tc>
        <w:tc>
          <w:tcPr>
            <w:tcW w:w="2000" w:type="dxa"/>
            <w:vAlign w:val="center"/>
            <w:vMerge w:val="restart"/>
          </w:tcPr>
          <w:p>
            <w:pPr>
              <w:jc w:val="center"/>
            </w:pPr>
            <w:r>
              <w:rPr>
                <w:color w:val="black"/>
                <w:sz w:val="18"/>
                <w:szCs w:val="18"/>
              </w:rPr>
              <w:t xml:space="preserve">2111</w:t>
            </w:r>
          </w:p>
        </w:tc>
        <w:tc>
          <w:tcPr>
            <w:tcW w:w="2000" w:type="dxa"/>
            <w:vAlign w:val="center"/>
            <w:vMerge w:val="restart"/>
          </w:tcPr>
          <w:p>
            <w:pPr>
              <w:jc w:val="center"/>
            </w:pPr>
            <w:r>
              <w:rPr>
                <w:color w:val="black"/>
                <w:sz w:val="18"/>
                <w:szCs w:val="18"/>
              </w:rPr>
              <w:t xml:space="preserve">1480</w:t>
            </w:r>
          </w:p>
        </w:tc>
        <w:tc>
          <w:tcPr>
            <w:tcW w:w="2000" w:type="dxa"/>
            <w:vAlign w:val="center"/>
            <w:vMerge w:val="restart"/>
          </w:tcPr>
          <w:p>
            <w:pPr>
              <w:jc w:val="center"/>
            </w:pPr>
            <w:r>
              <w:rPr>
                <w:color w:val="black"/>
                <w:sz w:val="18"/>
                <w:szCs w:val="18"/>
              </w:rPr>
              <w:t xml:space="preserve">1456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27/08/2024</w:t>
            </w:r>
          </w:p>
        </w:tc>
        <w:tc>
          <w:tcPr>
            <w:tcW w:w="2000" w:type="dxa"/>
            <w:vAlign w:val="center"/>
            <w:vMerge w:val="restart"/>
          </w:tcPr>
          <w:p>
            <w:pPr>
              <w:jc w:val="center"/>
            </w:pPr>
            <w:r>
              <w:rPr>
                <w:color w:val="black"/>
                <w:sz w:val="18"/>
                <w:szCs w:val="18"/>
              </w:rPr>
              <w:t xml:space="preserve">2046</w:t>
            </w:r>
          </w:p>
        </w:tc>
        <w:tc>
          <w:tcPr>
            <w:tcW w:w="2000" w:type="dxa"/>
            <w:vAlign w:val="center"/>
            <w:vMerge w:val="restart"/>
          </w:tcPr>
          <w:p>
            <w:pPr>
              <w:jc w:val="center"/>
            </w:pPr>
            <w:r>
              <w:rPr>
                <w:color w:val="black"/>
                <w:sz w:val="18"/>
                <w:szCs w:val="18"/>
              </w:rPr>
              <w:t xml:space="preserve">1414</w:t>
            </w:r>
          </w:p>
        </w:tc>
        <w:tc>
          <w:tcPr>
            <w:tcW w:w="2000" w:type="dxa"/>
            <w:vAlign w:val="center"/>
            <w:vMerge w:val="restart"/>
          </w:tcPr>
          <w:p>
            <w:pPr>
              <w:jc w:val="center"/>
            </w:pPr>
            <w:r>
              <w:rPr>
                <w:color w:val="black"/>
                <w:sz w:val="18"/>
                <w:szCs w:val="18"/>
              </w:rPr>
              <w:t xml:space="preserve">1391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28/08/2024</w:t>
            </w:r>
          </w:p>
        </w:tc>
        <w:tc>
          <w:tcPr>
            <w:tcW w:w="2000" w:type="dxa"/>
            <w:vAlign w:val="center"/>
            <w:vMerge w:val="restart"/>
          </w:tcPr>
          <w:p>
            <w:pPr>
              <w:jc w:val="center"/>
            </w:pPr>
            <w:r>
              <w:rPr>
                <w:color w:val="black"/>
                <w:sz w:val="18"/>
                <w:szCs w:val="18"/>
              </w:rPr>
              <w:t xml:space="preserve">29/10/2024</w:t>
            </w:r>
          </w:p>
        </w:tc>
        <w:tc>
          <w:tcPr>
            <w:tcW w:w="2000" w:type="dxa"/>
            <w:vAlign w:val="center"/>
            <w:vMerge w:val="restart"/>
          </w:tcPr>
          <w:p>
            <w:pPr>
              <w:jc w:val="center"/>
            </w:pPr>
            <w:r>
              <w:rPr>
                <w:color w:val="black"/>
                <w:sz w:val="18"/>
                <w:szCs w:val="18"/>
              </w:rPr>
              <w:t xml:space="preserve">2111</w:t>
            </w:r>
          </w:p>
        </w:tc>
        <w:tc>
          <w:tcPr>
            <w:tcW w:w="2000" w:type="dxa"/>
            <w:vAlign w:val="center"/>
            <w:vMerge w:val="restart"/>
          </w:tcPr>
          <w:p>
            <w:pPr>
              <w:jc w:val="center"/>
            </w:pPr>
            <w:r>
              <w:rPr>
                <w:color w:val="black"/>
                <w:sz w:val="18"/>
                <w:szCs w:val="18"/>
              </w:rPr>
              <w:t xml:space="preserve">1480</w:t>
            </w:r>
          </w:p>
        </w:tc>
        <w:tc>
          <w:tcPr>
            <w:tcW w:w="2000" w:type="dxa"/>
            <w:vAlign w:val="center"/>
            <w:vMerge w:val="restart"/>
          </w:tcPr>
          <w:p>
            <w:pPr>
              <w:jc w:val="center"/>
            </w:pPr>
            <w:r>
              <w:rPr>
                <w:color w:val="black"/>
                <w:sz w:val="18"/>
                <w:szCs w:val="18"/>
              </w:rPr>
              <w:t xml:space="preserve">1456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30/10/2024</w:t>
            </w:r>
          </w:p>
        </w:tc>
        <w:tc>
          <w:tcPr>
            <w:tcW w:w="2000" w:type="dxa"/>
            <w:vAlign w:val="center"/>
            <w:vMerge w:val="restart"/>
          </w:tcPr>
          <w:p>
            <w:pPr>
              <w:jc w:val="center"/>
            </w:pPr>
            <w:r>
              <w:rPr>
                <w:color w:val="black"/>
                <w:sz w:val="18"/>
                <w:szCs w:val="18"/>
              </w:rPr>
              <w:t xml:space="preserve">25/03/2025</w:t>
            </w:r>
          </w:p>
        </w:tc>
        <w:tc>
          <w:tcPr>
            <w:tcW w:w="2000" w:type="dxa"/>
            <w:vAlign w:val="center"/>
            <w:vMerge w:val="restart"/>
          </w:tcPr>
          <w:p>
            <w:pPr>
              <w:jc w:val="center"/>
            </w:pPr>
            <w:r>
              <w:rPr>
                <w:color w:val="black"/>
                <w:sz w:val="18"/>
                <w:szCs w:val="18"/>
              </w:rPr>
              <w:t xml:space="preserve">1993</w:t>
            </w:r>
          </w:p>
        </w:tc>
        <w:tc>
          <w:tcPr>
            <w:tcW w:w="2000" w:type="dxa"/>
            <w:vAlign w:val="center"/>
            <w:vMerge w:val="restart"/>
          </w:tcPr>
          <w:p>
            <w:pPr>
              <w:jc w:val="center"/>
            </w:pPr>
            <w:r>
              <w:rPr>
                <w:color w:val="black"/>
                <w:sz w:val="18"/>
                <w:szCs w:val="18"/>
              </w:rPr>
              <w:t xml:space="preserve">1361</w:t>
            </w:r>
          </w:p>
        </w:tc>
        <w:tc>
          <w:tcPr>
            <w:tcW w:w="2000" w:type="dxa"/>
            <w:vAlign w:val="center"/>
            <w:vMerge w:val="restart"/>
          </w:tcPr>
          <w:p>
            <w:pPr>
              <w:jc w:val="center"/>
            </w:pPr>
            <w:r>
              <w:rPr>
                <w:color w:val="black"/>
                <w:sz w:val="18"/>
                <w:szCs w:val="18"/>
              </w:rPr>
              <w:t xml:space="preserve">1339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 Circuito sale los miércoles </w:t>
      </w:r>
    </w:p>
    <w:p>
      <w:pPr>
        <w:numPr>
          <w:ilvl w:val="0"/>
          <w:numId w:val="2"/>
        </w:numPr>
      </w:pPr>
      <w:r>
        <w:rPr>
          <w:rFonts w:ascii="Arial" w:hAnsi="Arial" w:eastAsia="Arial" w:cs="Arial"/>
          <w:color w:val="#000"/>
          <w:sz w:val="24"/>
          <w:szCs w:val="24"/>
        </w:rPr>
        <w:t xml:space="preserve"> Permite viajar: Inicio de Viaje: 20 de marzo de 2024 </w:t>
      </w:r>
    </w:p>
    <w:p>
      <w:pPr>
        <w:numPr>
          <w:ilvl w:val="0"/>
          <w:numId w:val="2"/>
        </w:numPr>
      </w:pPr>
      <w:r>
        <w:rPr>
          <w:rFonts w:ascii="Arial" w:hAnsi="Arial" w:eastAsia="Arial" w:cs="Arial"/>
          <w:color w:val="#000"/>
          <w:sz w:val="24"/>
          <w:szCs w:val="24"/>
        </w:rPr>
        <w:t xml:space="preserve"> Viaje Finalizado: 25 de marzo de 2025</w:t>
      </w:r>
    </w:p>
    <w:p>
      <w:pPr>
        <w:numPr>
          <w:ilvl w:val="0"/>
          <w:numId w:val="2"/>
        </w:numPr>
      </w:pPr>
      <w:r>
        <w:rPr>
          <w:rFonts w:ascii="Arial" w:hAnsi="Arial" w:eastAsia="Arial" w:cs="Arial"/>
          <w:color w:val="#000"/>
          <w:sz w:val="24"/>
          <w:szCs w:val="24"/>
        </w:rPr>
        <w:t xml:space="preserve">  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 Supl. media pensión (6 cenas</w:t>
      </w:r>
    </w:p>
    <w:p>
      <w:pPr>
        <w:numPr>
          <w:ilvl w:val="0"/>
          <w:numId w:val="2"/>
        </w:numPr>
      </w:pPr>
      <w:r>
        <w:rPr>
          <w:rFonts w:ascii="Arial" w:hAnsi="Arial" w:eastAsia="Arial" w:cs="Arial"/>
          <w:color w:val="#000"/>
          <w:sz w:val="24"/>
          <w:szCs w:val="24"/>
        </w:rPr>
        <w:t xml:space="preserve">almuerzos): 315 USD</w:t>
      </w:r>
    </w:p>
    <w:p>
      <w:pPr>
        <w:numPr>
          <w:ilvl w:val="0"/>
          <w:numId w:val="2"/>
        </w:numPr>
      </w:pPr>
      <w:r>
        <w:rPr>
          <w:rFonts w:ascii="Arial" w:hAnsi="Arial" w:eastAsia="Arial" w:cs="Arial"/>
          <w:color w:val="#000"/>
          <w:sz w:val="24"/>
          <w:szCs w:val="24"/>
        </w:rPr>
        <w:t xml:space="preserve"> Para políticas de  niños, conculte con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AC8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2024-05-06T10:00:05-04:00</dcterms:created>
  <dcterms:modified xsi:type="dcterms:W3CDTF">2024-05-06T10:00:05-04:00</dcterms:modified>
</cp:coreProperties>
</file>

<file path=docProps/custom.xml><?xml version="1.0" encoding="utf-8"?>
<Properties xmlns="http://schemas.openxmlformats.org/officeDocument/2006/custom-properties" xmlns:vt="http://schemas.openxmlformats.org/officeDocument/2006/docPropsVTypes"/>
</file>