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Ciudades Imperiales</w:t>
            </w:r>
            <w:r>
              <w:rPr>
                <w:rFonts w:ascii="Arial" w:hAnsi="Arial" w:eastAsia="Arial" w:cs="Arial"/>
                <w:color w:val="#013785"/>
                <w:sz w:val="60"/>
                <w:szCs w:val="60"/>
                <w:i w:val="1"/>
                <w:iCs w:val="1"/>
              </w:rPr>
              <w:t xml:space="preserve"> / Republica Checa</w:t>
            </w:r>
          </w:p>
          <w:p>
            <w:pPr/>
            <w:r>
              <w:rPr>
                <w:rFonts w:ascii="Arial" w:hAnsi="Arial" w:eastAsia="Arial" w:cs="Arial"/>
                <w:color w:val="#013785"/>
                <w:sz w:val="30"/>
                <w:szCs w:val="30"/>
                <w:b w:val="1"/>
                <w:bCs w:val="1"/>
              </w:rPr>
              <w:t xml:space="preserve">8 días / 7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1.361</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 hotel en servicio compartido en Praga</w:t>
            </w:r>
          </w:p>
          <w:p>
            <w:pPr>
              <w:numPr>
                <w:ilvl w:val="0"/>
                <w:numId w:val="2"/>
              </w:numPr>
            </w:pPr>
            <w:r>
              <w:rPr>
                <w:rFonts w:ascii="Arial" w:hAnsi="Arial" w:eastAsia="Arial" w:cs="Arial"/>
                <w:color w:val="#000"/>
                <w:sz w:val="24"/>
                <w:szCs w:val="24"/>
              </w:rPr>
              <w:t xml:space="preserve">Transporte en autocar de lujo con wi-fi, gratuito</w:t>
            </w:r>
          </w:p>
          <w:p>
            <w:pPr>
              <w:numPr>
                <w:ilvl w:val="0"/>
                <w:numId w:val="2"/>
              </w:numPr>
            </w:pPr>
            <w:r>
              <w:rPr>
                <w:rFonts w:ascii="Arial" w:hAnsi="Arial" w:eastAsia="Arial" w:cs="Arial"/>
                <w:color w:val="#000"/>
                <w:sz w:val="24"/>
                <w:szCs w:val="24"/>
              </w:rPr>
              <w:t xml:space="preserve">6 noches de alojamiento en destino + 1 Nochede Viaje a bordo</w:t>
            </w:r>
          </w:p>
          <w:p>
            <w:pPr>
              <w:numPr>
                <w:ilvl w:val="0"/>
                <w:numId w:val="2"/>
              </w:numPr>
            </w:pPr>
            <w:r>
              <w:rPr>
                <w:rFonts w:ascii="Arial" w:hAnsi="Arial" w:eastAsia="Arial" w:cs="Arial"/>
                <w:color w:val="#000"/>
                <w:sz w:val="24"/>
                <w:szCs w:val="24"/>
              </w:rPr>
              <w:t xml:space="preserve">Desayuno buffet diario</w:t>
            </w:r>
          </w:p>
          <w:p>
            <w:pPr>
              <w:numPr>
                <w:ilvl w:val="0"/>
                <w:numId w:val="2"/>
              </w:numPr>
            </w:pPr>
            <w:r>
              <w:rPr>
                <w:rFonts w:ascii="Arial" w:hAnsi="Arial" w:eastAsia="Arial" w:cs="Arial"/>
                <w:color w:val="#000"/>
                <w:sz w:val="24"/>
                <w:szCs w:val="24"/>
              </w:rPr>
              <w:t xml:space="preserve">Guía acompañante</w:t>
            </w:r>
          </w:p>
          <w:p>
            <w:pPr>
              <w:numPr>
                <w:ilvl w:val="0"/>
                <w:numId w:val="2"/>
              </w:numPr>
            </w:pPr>
            <w:r>
              <w:rPr>
                <w:rFonts w:ascii="Arial" w:hAnsi="Arial" w:eastAsia="Arial" w:cs="Arial"/>
                <w:color w:val="#000"/>
                <w:sz w:val="24"/>
                <w:szCs w:val="24"/>
              </w:rPr>
              <w:t xml:space="preserve">Visita con guía local en Praga, Budapest y Viena.</w:t>
            </w:r>
          </w:p>
          <w:p>
            <w:pPr>
              <w:numPr>
                <w:ilvl w:val="0"/>
                <w:numId w:val="2"/>
              </w:numPr>
            </w:pPr>
            <w:r>
              <w:rPr>
                <w:rFonts w:ascii="Arial" w:hAnsi="Arial" w:eastAsia="Arial" w:cs="Arial"/>
                <w:color w:val="#000"/>
                <w:sz w:val="24"/>
                <w:szCs w:val="24"/>
              </w:rPr>
              <w:t xml:space="preserve">Neceser de viaje con amenities.</w:t>
            </w:r>
          </w:p>
          <w:p>
            <w:pPr>
              <w:numPr>
                <w:ilvl w:val="0"/>
                <w:numId w:val="2"/>
              </w:numPr>
            </w:pPr>
            <w:r>
              <w:rPr>
                <w:rFonts w:ascii="Arial" w:hAnsi="Arial" w:eastAsia="Arial" w:cs="Arial"/>
                <w:color w:val="#000"/>
                <w:sz w:val="24"/>
                <w:szCs w:val="24"/>
              </w:rPr>
              <w:t xml:space="preserve">Asistencia en Viajes de 60,00 USD para PAX de hasta 69 años. Incluye COVID 19</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CIRCUITO</w:t>
            </w:r>
          </w:p>
        </w:tc>
        <w:tc>
          <w:tcPr>
            <w:tcW w:w="2000" w:type="dxa"/>
            <w:vAlign w:val="center"/>
            <w:vMerge w:val="restart"/>
          </w:tcPr>
          <w:p>
            <w:pPr>
              <w:jc w:val="center"/>
            </w:pPr>
            <w:r>
              <w:rPr>
                <w:color w:val="black"/>
                <w:sz w:val="18"/>
                <w:szCs w:val="18"/>
              </w:rPr>
              <w:t xml:space="preserve">20/03/2024</w:t>
            </w:r>
          </w:p>
        </w:tc>
        <w:tc>
          <w:tcPr>
            <w:tcW w:w="2000" w:type="dxa"/>
            <w:vAlign w:val="center"/>
            <w:vMerge w:val="restart"/>
          </w:tcPr>
          <w:p>
            <w:pPr>
              <w:jc w:val="center"/>
            </w:pPr>
            <w:r>
              <w:rPr>
                <w:color w:val="black"/>
                <w:sz w:val="18"/>
                <w:szCs w:val="18"/>
              </w:rPr>
              <w:t xml:space="preserve">02/07/2024</w:t>
            </w:r>
          </w:p>
        </w:tc>
        <w:tc>
          <w:tcPr>
            <w:tcW w:w="2000" w:type="dxa"/>
            <w:vAlign w:val="center"/>
            <w:vMerge w:val="restart"/>
          </w:tcPr>
          <w:p>
            <w:pPr>
              <w:jc w:val="center"/>
            </w:pPr>
            <w:r>
              <w:rPr>
                <w:color w:val="black"/>
                <w:sz w:val="18"/>
                <w:szCs w:val="18"/>
              </w:rPr>
              <w:t xml:space="preserve">2111</w:t>
            </w:r>
          </w:p>
        </w:tc>
        <w:tc>
          <w:tcPr>
            <w:tcW w:w="2000" w:type="dxa"/>
            <w:vAlign w:val="center"/>
            <w:vMerge w:val="restart"/>
          </w:tcPr>
          <w:p>
            <w:pPr>
              <w:jc w:val="center"/>
            </w:pPr>
            <w:r>
              <w:rPr>
                <w:color w:val="black"/>
                <w:sz w:val="18"/>
                <w:szCs w:val="18"/>
              </w:rPr>
              <w:t xml:space="preserve">1480</w:t>
            </w:r>
          </w:p>
        </w:tc>
        <w:tc>
          <w:tcPr>
            <w:tcW w:w="2000" w:type="dxa"/>
            <w:vAlign w:val="center"/>
            <w:vMerge w:val="restart"/>
          </w:tcPr>
          <w:p>
            <w:pPr>
              <w:jc w:val="center"/>
            </w:pPr>
            <w:r>
              <w:rPr>
                <w:color w:val="black"/>
                <w:sz w:val="18"/>
                <w:szCs w:val="18"/>
              </w:rPr>
              <w:t xml:space="preserve">1456</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CIRCUITO</w:t>
            </w:r>
          </w:p>
        </w:tc>
        <w:tc>
          <w:tcPr>
            <w:tcW w:w="2000" w:type="dxa"/>
            <w:vAlign w:val="center"/>
            <w:vMerge w:val="restart"/>
          </w:tcPr>
          <w:p>
            <w:pPr>
              <w:jc w:val="center"/>
            </w:pPr>
            <w:r>
              <w:rPr>
                <w:color w:val="black"/>
                <w:sz w:val="18"/>
                <w:szCs w:val="18"/>
              </w:rPr>
              <w:t xml:space="preserve">03/07/2024</w:t>
            </w:r>
          </w:p>
        </w:tc>
        <w:tc>
          <w:tcPr>
            <w:tcW w:w="2000" w:type="dxa"/>
            <w:vAlign w:val="center"/>
            <w:vMerge w:val="restart"/>
          </w:tcPr>
          <w:p>
            <w:pPr>
              <w:jc w:val="center"/>
            </w:pPr>
            <w:r>
              <w:rPr>
                <w:color w:val="black"/>
                <w:sz w:val="18"/>
                <w:szCs w:val="18"/>
              </w:rPr>
              <w:t xml:space="preserve">27/08/2024</w:t>
            </w:r>
          </w:p>
        </w:tc>
        <w:tc>
          <w:tcPr>
            <w:tcW w:w="2000" w:type="dxa"/>
            <w:vAlign w:val="center"/>
            <w:vMerge w:val="restart"/>
          </w:tcPr>
          <w:p>
            <w:pPr>
              <w:jc w:val="center"/>
            </w:pPr>
            <w:r>
              <w:rPr>
                <w:color w:val="black"/>
                <w:sz w:val="18"/>
                <w:szCs w:val="18"/>
              </w:rPr>
              <w:t xml:space="preserve">2046</w:t>
            </w:r>
          </w:p>
        </w:tc>
        <w:tc>
          <w:tcPr>
            <w:tcW w:w="2000" w:type="dxa"/>
            <w:vAlign w:val="center"/>
            <w:vMerge w:val="restart"/>
          </w:tcPr>
          <w:p>
            <w:pPr>
              <w:jc w:val="center"/>
            </w:pPr>
            <w:r>
              <w:rPr>
                <w:color w:val="black"/>
                <w:sz w:val="18"/>
                <w:szCs w:val="18"/>
              </w:rPr>
              <w:t xml:space="preserve">1414</w:t>
            </w:r>
          </w:p>
        </w:tc>
        <w:tc>
          <w:tcPr>
            <w:tcW w:w="2000" w:type="dxa"/>
            <w:vAlign w:val="center"/>
            <w:vMerge w:val="restart"/>
          </w:tcPr>
          <w:p>
            <w:pPr>
              <w:jc w:val="center"/>
            </w:pPr>
            <w:r>
              <w:rPr>
                <w:color w:val="black"/>
                <w:sz w:val="18"/>
                <w:szCs w:val="18"/>
              </w:rPr>
              <w:t xml:space="preserve">1391</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CIRCUITO</w:t>
            </w:r>
          </w:p>
        </w:tc>
        <w:tc>
          <w:tcPr>
            <w:tcW w:w="2000" w:type="dxa"/>
            <w:vAlign w:val="center"/>
            <w:vMerge w:val="restart"/>
          </w:tcPr>
          <w:p>
            <w:pPr>
              <w:jc w:val="center"/>
            </w:pPr>
            <w:r>
              <w:rPr>
                <w:color w:val="black"/>
                <w:sz w:val="18"/>
                <w:szCs w:val="18"/>
              </w:rPr>
              <w:t xml:space="preserve">28/08/2024</w:t>
            </w:r>
          </w:p>
        </w:tc>
        <w:tc>
          <w:tcPr>
            <w:tcW w:w="2000" w:type="dxa"/>
            <w:vAlign w:val="center"/>
            <w:vMerge w:val="restart"/>
          </w:tcPr>
          <w:p>
            <w:pPr>
              <w:jc w:val="center"/>
            </w:pPr>
            <w:r>
              <w:rPr>
                <w:color w:val="black"/>
                <w:sz w:val="18"/>
                <w:szCs w:val="18"/>
              </w:rPr>
              <w:t xml:space="preserve">29/10/2024</w:t>
            </w:r>
          </w:p>
        </w:tc>
        <w:tc>
          <w:tcPr>
            <w:tcW w:w="2000" w:type="dxa"/>
            <w:vAlign w:val="center"/>
            <w:vMerge w:val="restart"/>
          </w:tcPr>
          <w:p>
            <w:pPr>
              <w:jc w:val="center"/>
            </w:pPr>
            <w:r>
              <w:rPr>
                <w:color w:val="black"/>
                <w:sz w:val="18"/>
                <w:szCs w:val="18"/>
              </w:rPr>
              <w:t xml:space="preserve">2111</w:t>
            </w:r>
          </w:p>
        </w:tc>
        <w:tc>
          <w:tcPr>
            <w:tcW w:w="2000" w:type="dxa"/>
            <w:vAlign w:val="center"/>
            <w:vMerge w:val="restart"/>
          </w:tcPr>
          <w:p>
            <w:pPr>
              <w:jc w:val="center"/>
            </w:pPr>
            <w:r>
              <w:rPr>
                <w:color w:val="black"/>
                <w:sz w:val="18"/>
                <w:szCs w:val="18"/>
              </w:rPr>
              <w:t xml:space="preserve">1480</w:t>
            </w:r>
          </w:p>
        </w:tc>
        <w:tc>
          <w:tcPr>
            <w:tcW w:w="2000" w:type="dxa"/>
            <w:vAlign w:val="center"/>
            <w:vMerge w:val="restart"/>
          </w:tcPr>
          <w:p>
            <w:pPr>
              <w:jc w:val="center"/>
            </w:pPr>
            <w:r>
              <w:rPr>
                <w:color w:val="black"/>
                <w:sz w:val="18"/>
                <w:szCs w:val="18"/>
              </w:rPr>
              <w:t xml:space="preserve">1456</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CIRCUITO</w:t>
            </w:r>
          </w:p>
        </w:tc>
        <w:tc>
          <w:tcPr>
            <w:tcW w:w="2000" w:type="dxa"/>
            <w:vAlign w:val="center"/>
            <w:vMerge w:val="restart"/>
          </w:tcPr>
          <w:p>
            <w:pPr>
              <w:jc w:val="center"/>
            </w:pPr>
            <w:r>
              <w:rPr>
                <w:color w:val="black"/>
                <w:sz w:val="18"/>
                <w:szCs w:val="18"/>
              </w:rPr>
              <w:t xml:space="preserve">30/10/2024</w:t>
            </w:r>
          </w:p>
        </w:tc>
        <w:tc>
          <w:tcPr>
            <w:tcW w:w="2000" w:type="dxa"/>
            <w:vAlign w:val="center"/>
            <w:vMerge w:val="restart"/>
          </w:tcPr>
          <w:p>
            <w:pPr>
              <w:jc w:val="center"/>
            </w:pPr>
            <w:r>
              <w:rPr>
                <w:color w:val="black"/>
                <w:sz w:val="18"/>
                <w:szCs w:val="18"/>
              </w:rPr>
              <w:t xml:space="preserve">25/03/2025</w:t>
            </w:r>
          </w:p>
        </w:tc>
        <w:tc>
          <w:tcPr>
            <w:tcW w:w="2000" w:type="dxa"/>
            <w:vAlign w:val="center"/>
            <w:vMerge w:val="restart"/>
          </w:tcPr>
          <w:p>
            <w:pPr>
              <w:jc w:val="center"/>
            </w:pPr>
            <w:r>
              <w:rPr>
                <w:color w:val="black"/>
                <w:sz w:val="18"/>
                <w:szCs w:val="18"/>
              </w:rPr>
              <w:t xml:space="preserve">1993</w:t>
            </w:r>
          </w:p>
        </w:tc>
        <w:tc>
          <w:tcPr>
            <w:tcW w:w="2000" w:type="dxa"/>
            <w:vAlign w:val="center"/>
            <w:vMerge w:val="restart"/>
          </w:tcPr>
          <w:p>
            <w:pPr>
              <w:jc w:val="center"/>
            </w:pPr>
            <w:r>
              <w:rPr>
                <w:color w:val="black"/>
                <w:sz w:val="18"/>
                <w:szCs w:val="18"/>
              </w:rPr>
              <w:t xml:space="preserve">1361</w:t>
            </w:r>
          </w:p>
        </w:tc>
        <w:tc>
          <w:tcPr>
            <w:tcW w:w="2000" w:type="dxa"/>
            <w:vAlign w:val="center"/>
            <w:vMerge w:val="restart"/>
          </w:tcPr>
          <w:p>
            <w:pPr>
              <w:jc w:val="center"/>
            </w:pPr>
            <w:r>
              <w:rPr>
                <w:color w:val="black"/>
                <w:sz w:val="18"/>
                <w:szCs w:val="18"/>
              </w:rPr>
              <w:t xml:space="preserve">1339</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Valor corresponde a la salida mas economica del programa, consultar por fechas especificas pues puede aplicar suplementos </w:t>
      </w:r>
    </w:p>
    <w:p>
      <w:pPr>
        <w:numPr>
          <w:ilvl w:val="0"/>
          <w:numId w:val="2"/>
        </w:numPr>
      </w:pPr>
      <w:r>
        <w:rPr>
          <w:rFonts w:ascii="Arial" w:hAnsi="Arial" w:eastAsia="Arial" w:cs="Arial"/>
          <w:color w:val="#000"/>
          <w:sz w:val="24"/>
          <w:szCs w:val="24"/>
        </w:rPr>
        <w:t xml:space="preserve"> Permite comprar hasta: 15 dias antes de la salida del circuito. </w:t>
      </w:r>
    </w:p>
    <w:p>
      <w:pPr>
        <w:numPr>
          <w:ilvl w:val="0"/>
          <w:numId w:val="2"/>
        </w:numPr>
      </w:pPr>
      <w:r>
        <w:rPr>
          <w:rFonts w:ascii="Arial" w:hAnsi="Arial" w:eastAsia="Arial" w:cs="Arial"/>
          <w:color w:val="#000"/>
          <w:sz w:val="24"/>
          <w:szCs w:val="24"/>
        </w:rPr>
        <w:t xml:space="preserve"> Circuito sale los miércoles </w:t>
      </w:r>
    </w:p>
    <w:p>
      <w:pPr>
        <w:numPr>
          <w:ilvl w:val="0"/>
          <w:numId w:val="2"/>
        </w:numPr>
      </w:pPr>
      <w:r>
        <w:rPr>
          <w:rFonts w:ascii="Arial" w:hAnsi="Arial" w:eastAsia="Arial" w:cs="Arial"/>
          <w:color w:val="#000"/>
          <w:sz w:val="24"/>
          <w:szCs w:val="24"/>
        </w:rPr>
        <w:t xml:space="preserve"> Permite viajar: Inicio de Viaje: 20 de marzo de 2024 </w:t>
      </w:r>
    </w:p>
    <w:p>
      <w:pPr>
        <w:numPr>
          <w:ilvl w:val="0"/>
          <w:numId w:val="2"/>
        </w:numPr>
      </w:pPr>
      <w:r>
        <w:rPr>
          <w:rFonts w:ascii="Arial" w:hAnsi="Arial" w:eastAsia="Arial" w:cs="Arial"/>
          <w:color w:val="#000"/>
          <w:sz w:val="24"/>
          <w:szCs w:val="24"/>
        </w:rPr>
        <w:t xml:space="preserve"> Viaje Finalizado: 25 de marzo de 2025</w:t>
      </w:r>
    </w:p>
    <w:p>
      <w:pPr>
        <w:numPr>
          <w:ilvl w:val="0"/>
          <w:numId w:val="2"/>
        </w:numPr>
      </w:pPr>
      <w:r>
        <w:rPr>
          <w:rFonts w:ascii="Arial" w:hAnsi="Arial" w:eastAsia="Arial" w:cs="Arial"/>
          <w:color w:val="#000"/>
          <w:sz w:val="24"/>
          <w:szCs w:val="24"/>
        </w:rPr>
        <w:t xml:space="preserve">  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 Supl. media pensión (6 cenas</w:t>
      </w:r>
    </w:p>
    <w:p>
      <w:pPr>
        <w:numPr>
          <w:ilvl w:val="0"/>
          <w:numId w:val="2"/>
        </w:numPr>
      </w:pPr>
      <w:r>
        <w:rPr>
          <w:rFonts w:ascii="Arial" w:hAnsi="Arial" w:eastAsia="Arial" w:cs="Arial"/>
          <w:color w:val="#000"/>
          <w:sz w:val="24"/>
          <w:szCs w:val="24"/>
        </w:rPr>
        <w:t xml:space="preserve">almuerzos): 315 USD</w:t>
      </w:r>
    </w:p>
    <w:p>
      <w:pPr>
        <w:numPr>
          <w:ilvl w:val="0"/>
          <w:numId w:val="2"/>
        </w:numPr>
      </w:pPr>
      <w:r>
        <w:rPr>
          <w:rFonts w:ascii="Arial" w:hAnsi="Arial" w:eastAsia="Arial" w:cs="Arial"/>
          <w:color w:val="#000"/>
          <w:sz w:val="24"/>
          <w:szCs w:val="24"/>
        </w:rPr>
        <w:t xml:space="preserve"> Para políticas de  niños, conculte con su ejecutivo de cuentas.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A7E89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2024-05-19T04:59:29-04:00</dcterms:created>
  <dcterms:modified xsi:type="dcterms:W3CDTF">2024-05-19T04:59:29-04:00</dcterms:modified>
</cp:coreProperties>
</file>

<file path=docProps/custom.xml><?xml version="1.0" encoding="utf-8"?>
<Properties xmlns="http://schemas.openxmlformats.org/officeDocument/2006/custom-properties" xmlns:vt="http://schemas.openxmlformats.org/officeDocument/2006/docPropsVTypes"/>
</file>