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Atenas Y 3 Islas</w:t>
            </w:r>
            <w:r>
              <w:rPr>
                <w:rFonts w:ascii="Arial" w:hAnsi="Arial" w:eastAsia="Arial" w:cs="Arial"/>
                <w:color w:val="#013785"/>
                <w:sz w:val="60"/>
                <w:szCs w:val="60"/>
                <w:i w:val="1"/>
                <w:iCs w:val="1"/>
              </w:rPr>
              <w:t xml:space="preserve"> / Grecia</w:t>
            </w:r>
          </w:p>
          <w:p>
            <w:pPr/>
            <w:r>
              <w:rPr>
                <w:rFonts w:ascii="Arial" w:hAnsi="Arial" w:eastAsia="Arial" w:cs="Arial"/>
                <w:color w:val="#013785"/>
                <w:sz w:val="30"/>
                <w:szCs w:val="30"/>
                <w:b w:val="1"/>
                <w:bCs w:val="1"/>
              </w:rPr>
              <w:t xml:space="preserve">13 días / 12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3.280</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12 noches de alojamiento en hotel seleccionado</w:t>
            </w:r>
          </w:p>
          <w:p>
            <w:pPr>
              <w:numPr>
                <w:ilvl w:val="0"/>
                <w:numId w:val="2"/>
              </w:numPr>
            </w:pPr>
            <w:r>
              <w:rPr>
                <w:rFonts w:ascii="Arial" w:hAnsi="Arial" w:eastAsia="Arial" w:cs="Arial"/>
                <w:color w:val="#000"/>
                <w:sz w:val="24"/>
                <w:szCs w:val="24"/>
              </w:rPr>
              <w:t xml:space="preserve">Traslados según indicados en el programa, sin asistencia.</w:t>
            </w:r>
          </w:p>
          <w:p>
            <w:pPr>
              <w:numPr>
                <w:ilvl w:val="0"/>
                <w:numId w:val="2"/>
              </w:numPr>
            </w:pPr>
            <w:r>
              <w:rPr>
                <w:rFonts w:ascii="Arial" w:hAnsi="Arial" w:eastAsia="Arial" w:cs="Arial"/>
                <w:color w:val="#000"/>
                <w:sz w:val="24"/>
                <w:szCs w:val="24"/>
              </w:rPr>
              <w:t xml:space="preserve">Visita de Atenas (en tour regular medio día, entradas incluidas).</w:t>
            </w:r>
          </w:p>
          <w:p>
            <w:pPr>
              <w:numPr>
                <w:ilvl w:val="0"/>
                <w:numId w:val="2"/>
              </w:numPr>
            </w:pPr>
            <w:r>
              <w:rPr>
                <w:rFonts w:ascii="Arial" w:hAnsi="Arial" w:eastAsia="Arial" w:cs="Arial"/>
                <w:color w:val="#000"/>
                <w:sz w:val="24"/>
                <w:szCs w:val="24"/>
              </w:rPr>
              <w:t xml:space="preserve">Billetes de barco regular Pireo – Mykonos (Clase Económica).</w:t>
            </w:r>
          </w:p>
          <w:p>
            <w:pPr>
              <w:numPr>
                <w:ilvl w:val="0"/>
                <w:numId w:val="2"/>
              </w:numPr>
            </w:pPr>
            <w:r>
              <w:rPr>
                <w:rFonts w:ascii="Arial" w:hAnsi="Arial" w:eastAsia="Arial" w:cs="Arial"/>
                <w:color w:val="#000"/>
                <w:sz w:val="24"/>
                <w:szCs w:val="24"/>
              </w:rPr>
              <w:t xml:space="preserve">Billetes de barco rápido Mykonos – Santorini – Creta (Clase Económica).</w:t>
            </w:r>
          </w:p>
          <w:p>
            <w:pPr>
              <w:numPr>
                <w:ilvl w:val="0"/>
                <w:numId w:val="2"/>
              </w:numPr>
            </w:pPr>
            <w:r>
              <w:rPr>
                <w:rFonts w:ascii="Arial" w:hAnsi="Arial" w:eastAsia="Arial" w:cs="Arial"/>
                <w:color w:val="#000"/>
                <w:sz w:val="24"/>
                <w:szCs w:val="24"/>
              </w:rPr>
              <w:t xml:space="preserve">Desayuno diario.</w:t>
            </w:r>
          </w:p>
          <w:p>
            <w:pPr>
              <w:numPr>
                <w:ilvl w:val="0"/>
                <w:numId w:val="2"/>
              </w:numPr>
            </w:pPr>
            <w:r>
              <w:rPr>
                <w:rFonts w:ascii="Arial" w:hAnsi="Arial" w:eastAsia="Arial" w:cs="Arial"/>
                <w:color w:val="#000"/>
                <w:sz w:val="24"/>
                <w:szCs w:val="24"/>
              </w:rPr>
              <w:t xml:space="preserve">Asistencia al pasajero 24/7.</w:t>
            </w:r>
          </w:p>
          <w:p>
            <w:pPr>
              <w:numPr>
                <w:ilvl w:val="0"/>
                <w:numId w:val="2"/>
              </w:numPr>
            </w:pPr>
            <w:r>
              <w:rPr>
                <w:rFonts w:ascii="Arial" w:hAnsi="Arial" w:eastAsia="Arial" w:cs="Arial"/>
                <w:color w:val="#000"/>
                <w:sz w:val="24"/>
                <w:szCs w:val="24"/>
              </w:rPr>
              <w:t xml:space="preserve">Transporte de 1 maleta grande y 1 de cabina.</w:t>
            </w:r>
          </w:p>
          <w:p>
            <w:pPr>
              <w:numPr>
                <w:ilvl w:val="0"/>
                <w:numId w:val="2"/>
              </w:numPr>
            </w:pPr>
            <w:r>
              <w:rPr>
                <w:rFonts w:ascii="Arial" w:hAnsi="Arial" w:eastAsia="Arial" w:cs="Arial"/>
                <w:color w:val="#000"/>
                <w:sz w:val="24"/>
                <w:szCs w:val="24"/>
              </w:rPr>
              <w:t xml:space="preserve">Asistencia en Viajes de 60,00 USD para PAX de hasta 69 años. Incluye COVID</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r>
      <w:tr>
        <w:trPr/>
        <w:tc>
          <w:tcPr>
            <w:tcW w:w="2000" w:type="dxa"/>
            <w:vAlign w:val="center"/>
            <w:vMerge w:val="restart"/>
          </w:tcPr>
          <w:p>
            <w:pPr>
              <w:jc w:val="center"/>
            </w:pPr>
            <w:r>
              <w:rPr>
                <w:color w:val="black"/>
                <w:sz w:val="18"/>
                <w:szCs w:val="18"/>
              </w:rPr>
              <w:t xml:space="preserve">01/05/2024</w:t>
            </w:r>
          </w:p>
        </w:tc>
        <w:tc>
          <w:tcPr>
            <w:tcW w:w="2000" w:type="dxa"/>
            <w:vAlign w:val="center"/>
            <w:vMerge w:val="restart"/>
          </w:tcPr>
          <w:p>
            <w:pPr>
              <w:jc w:val="center"/>
            </w:pPr>
            <w:r>
              <w:rPr>
                <w:color w:val="black"/>
                <w:sz w:val="18"/>
                <w:szCs w:val="18"/>
              </w:rPr>
              <w:t xml:space="preserve">30/06/2024</w:t>
            </w:r>
          </w:p>
        </w:tc>
        <w:tc>
          <w:tcPr>
            <w:tcW w:w="2000" w:type="dxa"/>
            <w:vAlign w:val="center"/>
            <w:vMerge w:val="restart"/>
          </w:tcPr>
          <w:p>
            <w:pPr>
              <w:jc w:val="center"/>
            </w:pPr>
            <w:r>
              <w:rPr>
                <w:color w:val="black"/>
                <w:sz w:val="18"/>
                <w:szCs w:val="18"/>
              </w:rPr>
              <w:t xml:space="preserve">5379</w:t>
            </w:r>
          </w:p>
        </w:tc>
        <w:tc>
          <w:tcPr>
            <w:tcW w:w="2000" w:type="dxa"/>
            <w:vAlign w:val="center"/>
            <w:vMerge w:val="restart"/>
          </w:tcPr>
          <w:p>
            <w:pPr>
              <w:jc w:val="center"/>
            </w:pPr>
            <w:r>
              <w:rPr>
                <w:color w:val="black"/>
                <w:sz w:val="18"/>
                <w:szCs w:val="18"/>
              </w:rPr>
              <w:t xml:space="preserve">3530</w:t>
            </w:r>
          </w:p>
        </w:tc>
        <w:tc>
          <w:tcPr>
            <w:tcW w:w="2000" w:type="dxa"/>
            <w:vAlign w:val="center"/>
            <w:vMerge w:val="restart"/>
          </w:tcPr>
          <w:p>
            <w:pPr>
              <w:jc w:val="center"/>
            </w:pPr>
            <w:r>
              <w:rPr>
                <w:color w:val="black"/>
                <w:sz w:val="18"/>
                <w:szCs w:val="18"/>
              </w:rPr>
              <w:t xml:space="preserve">N/A</w:t>
            </w:r>
          </w:p>
        </w:tc>
      </w:tr>
      <w:tr>
        <w:trPr/>
        <w:tc>
          <w:tcPr>
            <w:tcW w:w="2000" w:type="dxa"/>
            <w:vAlign w:val="center"/>
            <w:vMerge w:val="restart"/>
          </w:tcPr>
          <w:p>
            <w:pPr>
              <w:jc w:val="center"/>
            </w:pPr>
            <w:r>
              <w:rPr>
                <w:color w:val="black"/>
                <w:sz w:val="18"/>
                <w:szCs w:val="18"/>
              </w:rPr>
              <w:t xml:space="preserve">01/07/2024</w:t>
            </w:r>
          </w:p>
        </w:tc>
        <w:tc>
          <w:tcPr>
            <w:tcW w:w="2000" w:type="dxa"/>
            <w:vAlign w:val="center"/>
            <w:vMerge w:val="restart"/>
          </w:tcPr>
          <w:p>
            <w:pPr>
              <w:jc w:val="center"/>
            </w:pPr>
            <w:r>
              <w:rPr>
                <w:color w:val="black"/>
                <w:sz w:val="18"/>
                <w:szCs w:val="18"/>
              </w:rPr>
              <w:t xml:space="preserve">15/09/2024</w:t>
            </w:r>
          </w:p>
        </w:tc>
        <w:tc>
          <w:tcPr>
            <w:tcW w:w="2000" w:type="dxa"/>
            <w:vAlign w:val="center"/>
            <w:vMerge w:val="restart"/>
          </w:tcPr>
          <w:p>
            <w:pPr>
              <w:jc w:val="center"/>
            </w:pPr>
            <w:r>
              <w:rPr>
                <w:color w:val="black"/>
                <w:sz w:val="18"/>
                <w:szCs w:val="18"/>
              </w:rPr>
              <w:t xml:space="preserve">5971</w:t>
            </w:r>
          </w:p>
        </w:tc>
        <w:tc>
          <w:tcPr>
            <w:tcW w:w="2000" w:type="dxa"/>
            <w:vAlign w:val="center"/>
            <w:vMerge w:val="restart"/>
          </w:tcPr>
          <w:p>
            <w:pPr>
              <w:jc w:val="center"/>
            </w:pPr>
            <w:r>
              <w:rPr>
                <w:color w:val="black"/>
                <w:sz w:val="18"/>
                <w:szCs w:val="18"/>
              </w:rPr>
              <w:t xml:space="preserve">3827</w:t>
            </w:r>
          </w:p>
        </w:tc>
        <w:tc>
          <w:tcPr>
            <w:tcW w:w="2000" w:type="dxa"/>
            <w:vAlign w:val="center"/>
            <w:vMerge w:val="restart"/>
          </w:tcPr>
          <w:p>
            <w:pPr>
              <w:jc w:val="center"/>
            </w:pPr>
            <w:r>
              <w:rPr>
                <w:color w:val="black"/>
                <w:sz w:val="18"/>
                <w:szCs w:val="18"/>
              </w:rPr>
              <w:t xml:space="preserve">N/A</w:t>
            </w:r>
          </w:p>
        </w:tc>
      </w:tr>
      <w:tr>
        <w:trPr/>
        <w:tc>
          <w:tcPr>
            <w:tcW w:w="2000" w:type="dxa"/>
            <w:vAlign w:val="center"/>
            <w:vMerge w:val="restart"/>
          </w:tcPr>
          <w:p>
            <w:pPr>
              <w:jc w:val="center"/>
            </w:pPr>
            <w:r>
              <w:rPr>
                <w:color w:val="black"/>
                <w:sz w:val="18"/>
                <w:szCs w:val="18"/>
              </w:rPr>
              <w:t xml:space="preserve">16/09/2024</w:t>
            </w:r>
          </w:p>
        </w:tc>
        <w:tc>
          <w:tcPr>
            <w:tcW w:w="2000" w:type="dxa"/>
            <w:vAlign w:val="center"/>
            <w:vMerge w:val="restart"/>
          </w:tcPr>
          <w:p>
            <w:pPr>
              <w:jc w:val="center"/>
            </w:pPr>
            <w:r>
              <w:rPr>
                <w:color w:val="black"/>
                <w:sz w:val="18"/>
                <w:szCs w:val="18"/>
              </w:rPr>
              <w:t xml:space="preserve">30/09/2024</w:t>
            </w:r>
          </w:p>
        </w:tc>
        <w:tc>
          <w:tcPr>
            <w:tcW w:w="2000" w:type="dxa"/>
            <w:vAlign w:val="center"/>
            <w:vMerge w:val="restart"/>
          </w:tcPr>
          <w:p>
            <w:pPr>
              <w:jc w:val="center"/>
            </w:pPr>
            <w:r>
              <w:rPr>
                <w:color w:val="black"/>
                <w:sz w:val="18"/>
                <w:szCs w:val="18"/>
              </w:rPr>
              <w:t xml:space="preserve">5379</w:t>
            </w:r>
          </w:p>
        </w:tc>
        <w:tc>
          <w:tcPr>
            <w:tcW w:w="2000" w:type="dxa"/>
            <w:vAlign w:val="center"/>
            <w:vMerge w:val="restart"/>
          </w:tcPr>
          <w:p>
            <w:pPr>
              <w:jc w:val="center"/>
            </w:pPr>
            <w:r>
              <w:rPr>
                <w:color w:val="black"/>
                <w:sz w:val="18"/>
                <w:szCs w:val="18"/>
              </w:rPr>
              <w:t xml:space="preserve">3530</w:t>
            </w:r>
          </w:p>
        </w:tc>
        <w:tc>
          <w:tcPr>
            <w:tcW w:w="2000" w:type="dxa"/>
            <w:vAlign w:val="center"/>
            <w:vMerge w:val="restart"/>
          </w:tcPr>
          <w:p>
            <w:pPr>
              <w:jc w:val="center"/>
            </w:pPr>
            <w:r>
              <w:rPr>
                <w:color w:val="black"/>
                <w:sz w:val="18"/>
                <w:szCs w:val="18"/>
              </w:rPr>
              <w:t xml:space="preserve">N/A</w:t>
            </w:r>
          </w:p>
        </w:tc>
      </w:tr>
      <w:tr>
        <w:trPr/>
        <w:tc>
          <w:tcPr>
            <w:tcW w:w="2000" w:type="dxa"/>
            <w:vAlign w:val="center"/>
            <w:vMerge w:val="restart"/>
          </w:tcPr>
          <w:p>
            <w:pPr>
              <w:jc w:val="center"/>
            </w:pPr>
            <w:r>
              <w:rPr>
                <w:color w:val="black"/>
                <w:sz w:val="18"/>
                <w:szCs w:val="18"/>
              </w:rPr>
              <w:t xml:space="preserve">01/10/2024</w:t>
            </w:r>
          </w:p>
        </w:tc>
        <w:tc>
          <w:tcPr>
            <w:tcW w:w="2000" w:type="dxa"/>
            <w:vAlign w:val="center"/>
            <w:vMerge w:val="restart"/>
          </w:tcPr>
          <w:p>
            <w:pPr>
              <w:jc w:val="center"/>
            </w:pPr>
            <w:r>
              <w:rPr>
                <w:color w:val="black"/>
                <w:sz w:val="18"/>
                <w:szCs w:val="18"/>
              </w:rPr>
              <w:t xml:space="preserve">28/10/2024</w:t>
            </w:r>
          </w:p>
        </w:tc>
        <w:tc>
          <w:tcPr>
            <w:tcW w:w="2000" w:type="dxa"/>
            <w:vAlign w:val="center"/>
            <w:vMerge w:val="restart"/>
          </w:tcPr>
          <w:p>
            <w:pPr>
              <w:jc w:val="center"/>
            </w:pPr>
            <w:r>
              <w:rPr>
                <w:color w:val="black"/>
                <w:sz w:val="18"/>
                <w:szCs w:val="18"/>
              </w:rPr>
              <w:t xml:space="preserve">4899</w:t>
            </w:r>
          </w:p>
        </w:tc>
        <w:tc>
          <w:tcPr>
            <w:tcW w:w="2000" w:type="dxa"/>
            <w:vAlign w:val="center"/>
            <w:vMerge w:val="restart"/>
          </w:tcPr>
          <w:p>
            <w:pPr>
              <w:jc w:val="center"/>
            </w:pPr>
            <w:r>
              <w:rPr>
                <w:color w:val="black"/>
                <w:sz w:val="18"/>
                <w:szCs w:val="18"/>
              </w:rPr>
              <w:t xml:space="preserve">3280</w:t>
            </w:r>
          </w:p>
        </w:tc>
        <w:tc>
          <w:tcPr>
            <w:tcW w:w="2000" w:type="dxa"/>
            <w:vAlign w:val="center"/>
            <w:vMerge w:val="restart"/>
          </w:tcPr>
          <w:p>
            <w:pPr>
              <w:jc w:val="center"/>
            </w:pPr>
            <w:r>
              <w:rPr>
                <w:color w:val="black"/>
                <w:sz w:val="18"/>
                <w:szCs w:val="18"/>
              </w:rPr>
              <w:t xml:space="preserve">N/A</w:t>
            </w:r>
          </w:p>
        </w:tc>
      </w:tr>
    </w:tbl>
    <w:p>
      <w:pPr>
        <w:jc w:val="left"/>
      </w:pPr>
      <w:r>
        <w:rPr>
          <w:rFonts w:ascii="Arial" w:hAnsi="Arial" w:eastAsia="Arial" w:cs="Arial"/>
          <w:color w:val="#013785"/>
          <w:sz w:val="40"/>
          <w:szCs w:val="40"/>
          <w:b w:val="1"/>
          <w:bCs w:val="1"/>
          <w:i w:val="1"/>
          <w:iCs w:val="1"/>
        </w:rPr>
        <w:t xml:space="preserve">Hoteles</w:t>
      </w:r>
    </w:p>
    <w:tbl>
      <w:tblGrid>
        <w:gridCol/>
        <w:gridCol/>
      </w:tblGrid>
      <w:tblPr>
        <w:jc w:val="start"/>
        <w:tblW w:w="5000" w:type="pct"/>
        <w:tblLayout w:type="autofit"/>
        <w:tblBorders>
          <w:top w:val="single" w:sz="4.5" w:color="000000"/>
          <w:left w:val="single" w:sz="4.5" w:color="000000"/>
          <w:right w:val="single" w:sz="4.5" w:color="000000"/>
          <w:bottom w:val="single" w:sz="4.5" w:color="000000"/>
          <w:insideH w:val="single" w:sz="4.5" w:color="000000"/>
          <w:insideV w:val="single" w:sz="4.5" w:color="000000"/>
        </w:tblBorders>
      </w:tblPr>
      <w:tr>
        <w:trPr/>
        <w:tc>
          <w:tcPr>
            <w:tcBorders>
              <w:top w:val="single" w:sz="4.5" w:color="000000"/>
              <w:left w:val="single" w:sz="4.5" w:color="000000"/>
              <w:right w:val="single" w:sz="4.5" w:color="000000"/>
              <w:bottom w:val="single" w:sz="4.5" w:color="000000"/>
            </w:tcBorders>
            <w:shd w:val="clear" w:fill="013785"/>
          </w:tcPr>
          <w:p>
            <w:pPr>
              <w:jc w:val="center"/>
            </w:pPr>
            <w:r>
              <w:rPr>
                <w:color w:val="FFFFFF"/>
                <w:shd w:val="clear" w:fill="013785"/>
              </w:rPr>
              <w:t xml:space="preserve">Ciudad</w:t>
            </w:r>
          </w:p>
        </w:tc>
        <w:tc>
          <w:tcPr>
            <w:tcBorders>
              <w:top w:val="single" w:sz="4.5" w:color="000000"/>
              <w:left w:val="single" w:sz="4.5" w:color="000000"/>
              <w:right w:val="single" w:sz="4.5" w:color="000000"/>
              <w:bottom w:val="single" w:sz="4.5" w:color="000000"/>
            </w:tcBorders>
            <w:shd w:val="clear" w:fill="013785"/>
          </w:tcPr>
          <w:p>
            <w:pPr>
              <w:jc w:val="center"/>
            </w:pPr>
            <w:r>
              <w:rPr>
                <w:color w:val="FFFFFF"/>
                <w:shd w:val="clear" w:fill="013785"/>
              </w:rPr>
              <w:t xml:space="preserve">Hotel</w:t>
            </w:r>
          </w:p>
        </w:tc>
      </w:tr>
      <w:tr>
        <w:trPr/>
        <w:tc>
          <w:tcPr>
            <w:tcBorders>
              <w:top w:val="single" w:sz="4.5" w:color="000000"/>
              <w:left w:val="single" w:sz="4.5" w:color="000000"/>
              <w:right w:val="single" w:sz="4.5" w:color="000000"/>
              <w:bottom w:val="single" w:sz="4.5" w:color="000000"/>
            </w:tcBorders>
          </w:tcPr>
          <w:p>
            <w:pPr>
              <w:jc w:val="center"/>
            </w:pPr>
            <w:r>
              <w:rPr/>
              <w:t xml:space="preserve">Atenas</w:t>
            </w:r>
          </w:p>
        </w:tc>
        <w:tc>
          <w:tcPr>
            <w:tcBorders>
              <w:top w:val="single" w:sz="4.5" w:color="000000"/>
              <w:left w:val="single" w:sz="4.5" w:color="000000"/>
              <w:right w:val="single" w:sz="4.5" w:color="000000"/>
              <w:bottom w:val="single" w:sz="4.5" w:color="000000"/>
            </w:tcBorders>
          </w:tcPr>
          <w:p>
            <w:pPr>
              <w:jc w:val="center"/>
            </w:pPr>
            <w:r>
              <w:rPr/>
              <w:t xml:space="preserve">Golden City / Crystal City / Plaka</w:t>
            </w:r>
          </w:p>
        </w:tc>
      </w:tr>
      <w:tr>
        <w:trPr/>
        <w:tc>
          <w:tcPr>
            <w:tcBorders>
              <w:top w:val="single" w:sz="4.5" w:color="000000"/>
              <w:left w:val="single" w:sz="4.5" w:color="000000"/>
              <w:right w:val="single" w:sz="4.5" w:color="000000"/>
              <w:bottom w:val="single" w:sz="4.5" w:color="000000"/>
            </w:tcBorders>
          </w:tcPr>
          <w:p>
            <w:pPr>
              <w:jc w:val="center"/>
            </w:pPr>
            <w:r>
              <w:rPr/>
              <w:t xml:space="preserve">Mykonos</w:t>
            </w:r>
          </w:p>
        </w:tc>
        <w:tc>
          <w:tcPr>
            <w:tcBorders>
              <w:top w:val="single" w:sz="4.5" w:color="000000"/>
              <w:left w:val="single" w:sz="4.5" w:color="000000"/>
              <w:right w:val="single" w:sz="4.5" w:color="000000"/>
              <w:bottom w:val="single" w:sz="4.5" w:color="000000"/>
            </w:tcBorders>
          </w:tcPr>
          <w:p>
            <w:pPr>
              <w:jc w:val="center"/>
            </w:pPr>
            <w:r>
              <w:rPr/>
              <w:t xml:space="preserve">Pelican Town / Charissi</w:t>
            </w:r>
          </w:p>
        </w:tc>
      </w:tr>
      <w:tr>
        <w:trPr/>
        <w:tc>
          <w:tcPr>
            <w:tcBorders>
              <w:top w:val="single" w:sz="4.5" w:color="000000"/>
              <w:left w:val="single" w:sz="4.5" w:color="000000"/>
              <w:right w:val="single" w:sz="4.5" w:color="000000"/>
              <w:bottom w:val="single" w:sz="4.5" w:color="000000"/>
            </w:tcBorders>
          </w:tcPr>
          <w:p>
            <w:pPr>
              <w:jc w:val="center"/>
            </w:pPr>
            <w:r>
              <w:rPr/>
              <w:t xml:space="preserve">Santorini</w:t>
            </w:r>
          </w:p>
        </w:tc>
        <w:tc>
          <w:tcPr>
            <w:tcBorders>
              <w:top w:val="single" w:sz="4.5" w:color="000000"/>
              <w:left w:val="single" w:sz="4.5" w:color="000000"/>
              <w:right w:val="single" w:sz="4.5" w:color="000000"/>
              <w:bottom w:val="single" w:sz="4.5" w:color="000000"/>
            </w:tcBorders>
          </w:tcPr>
          <w:p>
            <w:pPr>
              <w:jc w:val="center"/>
            </w:pPr>
            <w:r>
              <w:rPr/>
              <w:t xml:space="preserve">New Haroula / Nilola / Fomithea</w:t>
            </w:r>
          </w:p>
        </w:tc>
      </w:tr>
      <w:tr>
        <w:trPr/>
        <w:tc>
          <w:tcPr>
            <w:tcBorders>
              <w:top w:val="single" w:sz="4.5" w:color="000000"/>
              <w:left w:val="single" w:sz="4.5" w:color="000000"/>
              <w:right w:val="single" w:sz="4.5" w:color="000000"/>
              <w:bottom w:val="single" w:sz="4.5" w:color="000000"/>
            </w:tcBorders>
          </w:tcPr>
          <w:p>
            <w:pPr>
              <w:jc w:val="center"/>
            </w:pPr>
            <w:r>
              <w:rPr/>
              <w:t xml:space="preserve">Creta</w:t>
            </w:r>
          </w:p>
        </w:tc>
        <w:tc>
          <w:tcPr>
            <w:tcBorders>
              <w:top w:val="single" w:sz="4.5" w:color="000000"/>
              <w:left w:val="single" w:sz="4.5" w:color="000000"/>
              <w:right w:val="single" w:sz="4.5" w:color="000000"/>
              <w:bottom w:val="single" w:sz="4.5" w:color="000000"/>
            </w:tcBorders>
          </w:tcPr>
          <w:p>
            <w:pPr>
              <w:jc w:val="center"/>
            </w:pPr>
            <w:r>
              <w:rPr/>
              <w:t xml:space="preserve">Marin Dream</w:t>
            </w:r>
          </w:p>
        </w:tc>
      </w:tr>
    </w:tbl>
    <w:p>
      <w:pPr/>
      <w:r>
        <w:rPr/>
        <w:t xml:space="preserve"> </w:t>
      </w:r>
    </w:p>
    <w:p>
      <w:pPr/>
      <w:r>
        <w:rPr/>
        <w:t xml:space="preserve"> </w:t>
      </w:r>
    </w:p>
    <w:p>
      <w:pPr/>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b w:val="1"/>
          <w:bCs w:val="1"/>
        </w:rPr>
        <w:t xml:space="preserve">Día 1º ATENAS</w:t>
      </w:r>
    </w:p>
    <w:p>
      <w:pPr/>
      <w:r>
        <w:rPr/>
        <w:t xml:space="preserve">Llegada al aeropuerto de Atenas y traslado al hotel. Resto del día libre. Alojamiento.</w:t>
      </w:r>
    </w:p>
    <w:p>
      <w:pPr/>
      <w:r>
        <w:rPr>
          <w:b w:val="1"/>
          <w:bCs w:val="1"/>
        </w:rPr>
        <w:t xml:space="preserve">Día 2º ATENAS-MYKONOS (barco)</w:t>
      </w:r>
    </w:p>
    <w:p>
      <w:pPr/>
      <w:r>
        <w:rPr/>
        <w:t xml:space="preserve">Desayuno. Por la mañana, traslado al puerto para que tomen el barco a Mykonos. Llegada a la isla y traslado al hotel. Resto del día libre. Alojamiento.</w:t>
      </w:r>
    </w:p>
    <w:p>
      <w:pPr/>
      <w:r>
        <w:rPr>
          <w:b w:val="1"/>
          <w:bCs w:val="1"/>
        </w:rPr>
        <w:t xml:space="preserve">Días 3º y 4º MYKONOS</w:t>
      </w:r>
    </w:p>
    <w:p>
      <w:pPr/>
      <w:r>
        <w:rPr/>
        <w:t xml:space="preserve">Alojamiento y desayuno. Días libres para explorar la isla. </w:t>
      </w:r>
    </w:p>
    <w:p>
      <w:pPr/>
      <w:r>
        <w:rPr>
          <w:b w:val="1"/>
          <w:bCs w:val="1"/>
        </w:rPr>
        <w:t xml:space="preserve">Día 5º MYKONOS-SANTORINI (barco)</w:t>
      </w:r>
    </w:p>
    <w:p>
      <w:pPr/>
      <w:r>
        <w:rPr/>
        <w:t xml:space="preserve">Desayuno. A la hora adecuada, traslado al puerto para que tomen el barco a Santorini.</w:t>
      </w:r>
    </w:p>
    <w:p>
      <w:pPr/>
      <w:r>
        <w:rPr/>
        <w:t xml:space="preserve">Llegada a la isla y traslado al hotel. Resto del día libre. Alojamiento.</w:t>
      </w:r>
    </w:p>
    <w:p>
      <w:pPr/>
      <w:r>
        <w:rPr>
          <w:b w:val="1"/>
          <w:bCs w:val="1"/>
        </w:rPr>
        <w:t xml:space="preserve">Días 6º y 7º SANTORINI</w:t>
      </w:r>
    </w:p>
    <w:p>
      <w:pPr/>
      <w:r>
        <w:rPr/>
        <w:t xml:space="preserve">Alojamiento y desayuno. Días libres para actividades personales.</w:t>
      </w:r>
    </w:p>
    <w:p>
      <w:pPr/>
      <w:r>
        <w:rPr>
          <w:b w:val="1"/>
          <w:bCs w:val="1"/>
        </w:rPr>
        <w:t xml:space="preserve">Día 8º SANTORINI-CRETA (barco)</w:t>
      </w:r>
    </w:p>
    <w:p>
      <w:pPr/>
      <w:r>
        <w:rPr/>
        <w:t xml:space="preserve">Desayuno. A la hora adecuada, traslado al puerto para embarcar a la isla de Creta (Iraklion). Llegada al puerto y traslado al hotel. Alojamiento.</w:t>
      </w:r>
    </w:p>
    <w:p>
      <w:pPr/>
      <w:r>
        <w:rPr>
          <w:b w:val="1"/>
          <w:bCs w:val="1"/>
        </w:rPr>
        <w:t xml:space="preserve">Días 9º y 10º CRETA (HERAKLION)</w:t>
      </w:r>
    </w:p>
    <w:p>
      <w:pPr/>
      <w:r>
        <w:rPr/>
        <w:t xml:space="preserve">Alojamiento y desayuno. Días libres para actividades personales. </w:t>
      </w:r>
    </w:p>
    <w:p>
      <w:pPr/>
      <w:r>
        <w:rPr>
          <w:b w:val="1"/>
          <w:bCs w:val="1"/>
        </w:rPr>
        <w:t xml:space="preserve">Día 11º CRETA-ATENAS (avión)</w:t>
      </w:r>
    </w:p>
    <w:p>
      <w:pPr/>
      <w:r>
        <w:rPr/>
        <w:t xml:space="preserve">Desayuno. A la hora adecuada, traslado al aeropuerto para tomar el vuelo a Atenas (boleto aéreo no incluido). Llegada y traslado al hotel. Resto del día libre. Alojamiento.</w:t>
      </w:r>
    </w:p>
    <w:p>
      <w:pPr/>
      <w:r>
        <w:rPr>
          <w:b w:val="1"/>
          <w:bCs w:val="1"/>
        </w:rPr>
        <w:t xml:space="preserve">Día 12º ATENAS</w:t>
      </w:r>
    </w:p>
    <w:p>
      <w:pPr/>
      <w:r>
        <w:rPr/>
        <w:t xml:space="preserve">Alojamiento y desayuno. A la hora indicada, salida para la visita de la ciudad. El recorrido empieza con</w:t>
      </w:r>
    </w:p>
    <w:p>
      <w:pPr/>
      <w:r>
        <w:rPr/>
        <w:t xml:space="preserve">una breve parada en el estadio Panatenaico, donde se realizó la Primera Olimpiada de la Era Moderna</w:t>
      </w:r>
    </w:p>
    <w:p>
      <w:pPr/>
      <w:r>
        <w:rPr/>
        <w:t xml:space="preserve">en 1896. Continúa con una visita panorámica por el Parlamento, el Memorial del Soldado Desconocido</w:t>
      </w:r>
    </w:p>
    <w:p>
      <w:pPr/>
      <w:r>
        <w:rPr/>
        <w:t xml:space="preserve">y la Avenida Panepistimiou para apreciar la casa de Schliemman, la Universidad de Atenas, la Biblioteca Nacional y la Academia. Dejando atrás el Templo de Zeus Olímpico y el Arco de Adriano, se llega a la colina sagrada de los griegos: la Acrópolis y sus monumentos: los imponentes Propileos, el Partenón, el Erecteión con su famoso Pórtico de las Cariátides y elrecién restaurado templo de Atenea Niké. Regreso al hotel. Resto del día libre para actividades personales.</w:t>
      </w:r>
    </w:p>
    <w:p>
      <w:pPr/>
      <w:r>
        <w:rPr>
          <w:b w:val="1"/>
          <w:bCs w:val="1"/>
        </w:rPr>
        <w:t xml:space="preserve">Día 13º ATENAS</w:t>
      </w:r>
    </w:p>
    <w:p>
      <w:pPr/>
      <w:r>
        <w:rPr/>
        <w:t xml:space="preserve">Desayuno. A la hora indicada traslado al aeropuerto. </w:t>
      </w:r>
    </w:p>
    <w:p>
      <w:pPr/>
      <w:r>
        <w:rPr/>
        <w:t xml:space="preserve">Fin de nuestros servicios.</w:t>
      </w:r>
    </w:p>
    <w:p>
      <w:pPr>
        <w:sectPr>
          <w:footerReference w:type="default" r:id="rId12"/>
          <w:pgSz w:orient="portrait" w:w="11905.511811023622" w:h="16837.79527559055"/>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 </w:t>
      </w:r>
    </w:p>
    <w:p>
      <w:pPr>
        <w:numPr>
          <w:ilvl w:val="0"/>
          <w:numId w:val="2"/>
        </w:numPr>
      </w:pPr>
      <w:r>
        <w:rPr>
          <w:rFonts w:ascii="Arial" w:hAnsi="Arial" w:eastAsia="Arial" w:cs="Arial"/>
          <w:color w:val="#000"/>
          <w:sz w:val="24"/>
          <w:szCs w:val="24"/>
        </w:rPr>
        <w:t xml:space="preserve"> Permite comprar hasta: 15 dias antes de la salida del circuito (salidas diarias </w:t>
      </w:r>
    </w:p>
    <w:p>
      <w:pPr>
        <w:numPr>
          <w:ilvl w:val="0"/>
          <w:numId w:val="2"/>
        </w:numPr>
      </w:pPr>
      <w:r>
        <w:rPr>
          <w:rFonts w:ascii="Arial" w:hAnsi="Arial" w:eastAsia="Arial" w:cs="Arial"/>
          <w:color w:val="#000"/>
          <w:sz w:val="24"/>
          <w:szCs w:val="24"/>
        </w:rPr>
        <w:t xml:space="preserve"> Permite viajar: Inicio de Viaje: 01 de abril de 2024 </w:t>
      </w:r>
    </w:p>
    <w:p>
      <w:pPr>
        <w:numPr>
          <w:ilvl w:val="0"/>
          <w:numId w:val="2"/>
        </w:numPr>
      </w:pPr>
      <w:r>
        <w:rPr>
          <w:rFonts w:ascii="Arial" w:hAnsi="Arial" w:eastAsia="Arial" w:cs="Arial"/>
          <w:color w:val="#000"/>
          <w:sz w:val="24"/>
          <w:szCs w:val="24"/>
        </w:rPr>
        <w:t xml:space="preserve"> Viaje Finalizado: 28 de octubre 2024 </w:t>
      </w:r>
    </w:p>
    <w:p>
      <w:pPr>
        <w:numPr>
          <w:ilvl w:val="0"/>
          <w:numId w:val="2"/>
        </w:numPr>
      </w:pPr>
      <w:r>
        <w:rPr>
          <w:rFonts w:ascii="Arial" w:hAnsi="Arial" w:eastAsia="Arial" w:cs="Arial"/>
          <w:color w:val="#000"/>
          <w:sz w:val="24"/>
          <w:szCs w:val="24"/>
        </w:rPr>
        <w:t xml:space="preserve"> el alojamiento puede ser en cualquiera de los hoteles mencionados </w:t>
      </w:r>
    </w:p>
    <w:p>
      <w:pPr>
        <w:numPr>
          <w:ilvl w:val="0"/>
          <w:numId w:val="2"/>
        </w:numPr>
      </w:pPr>
      <w:r>
        <w:rPr>
          <w:rFonts w:ascii="Arial" w:hAnsi="Arial" w:eastAsia="Arial" w:cs="Arial"/>
          <w:color w:val="#000"/>
          <w:sz w:val="24"/>
          <w:szCs w:val="24"/>
        </w:rPr>
        <w:t xml:space="preserve"> Las Tasas de estancia deberán abonarlas los pasajeros directamente al hotel o a la agencia (depende de la política de cada hotel) </w:t>
      </w:r>
    </w:p>
    <w:p>
      <w:pPr>
        <w:numPr>
          <w:ilvl w:val="0"/>
          <w:numId w:val="2"/>
        </w:numPr>
      </w:pPr>
      <w:r>
        <w:rPr>
          <w:rFonts w:ascii="Arial" w:hAnsi="Arial" w:eastAsia="Arial" w:cs="Arial"/>
          <w:color w:val="#000"/>
          <w:sz w:val="24"/>
          <w:szCs w:val="24"/>
        </w:rPr>
        <w:t xml:space="preserve"> Las tasas de estancia o impuestos por perrnoctación deberán abonarlas los pasajeros directamente al hotel (dependiendo de la categoría y política de cada hotel). Tasa por habitación y noche: hotel 3*: 3 €, hotel 4*: 7 €, hotel 5*: 10 €</w:t>
      </w:r>
    </w:p>
    <w:p>
      <w:pPr>
        <w:numPr>
          <w:ilvl w:val="0"/>
          <w:numId w:val="2"/>
        </w:numPr>
      </w:pPr>
      <w:r>
        <w:rPr>
          <w:rFonts w:ascii="Arial" w:hAnsi="Arial" w:eastAsia="Arial" w:cs="Arial"/>
          <w:color w:val="#000"/>
          <w:sz w:val="24"/>
          <w:szCs w:val="24"/>
        </w:rPr>
        <w:t xml:space="preserve"> Por razones de una mejor operación, el itinerario podría realizarse al revés </w:t>
      </w:r>
    </w:p>
    <w:p>
      <w:pPr>
        <w:numPr>
          <w:ilvl w:val="0"/>
          <w:numId w:val="2"/>
        </w:numPr>
      </w:pPr>
      <w:r>
        <w:rPr>
          <w:rFonts w:ascii="Arial" w:hAnsi="Arial" w:eastAsia="Arial" w:cs="Arial"/>
          <w:color w:val="#000"/>
          <w:sz w:val="24"/>
          <w:szCs w:val="24"/>
        </w:rPr>
        <w:t xml:space="preserve"> Este programa NO Incluye Boleto aéreo Creta – Atenas </w:t>
      </w:r>
    </w:p>
    <w:p>
      <w:pPr>
        <w:numPr>
          <w:ilvl w:val="0"/>
          <w:numId w:val="2"/>
        </w:numPr>
      </w:pPr>
      <w:r>
        <w:rPr>
          <w:rFonts w:ascii="Arial" w:hAnsi="Arial" w:eastAsia="Arial" w:cs="Arial"/>
          <w:color w:val="#000"/>
          <w:sz w:val="24"/>
          <w:szCs w:val="24"/>
        </w:rPr>
        <w:t xml:space="preserve"> Este programa NO incluye pasajes e impuestos aéreos </w:t>
      </w:r>
    </w:p>
    <w:p>
      <w:pPr>
        <w:numPr>
          <w:ilvl w:val="0"/>
          <w:numId w:val="2"/>
        </w:numPr>
      </w:pPr>
      <w:r>
        <w:rPr>
          <w:rFonts w:ascii="Arial" w:hAnsi="Arial" w:eastAsia="Arial" w:cs="Arial"/>
          <w:color w:val="#000"/>
          <w:sz w:val="24"/>
          <w:szCs w:val="24"/>
        </w:rPr>
        <w:t xml:space="preserve"> Este programa No incluye seguro turístico </w:t>
      </w:r>
    </w:p>
    <w:p>
      <w:pPr>
        <w:numPr>
          <w:ilvl w:val="0"/>
          <w:numId w:val="2"/>
        </w:numPr>
      </w:pPr>
      <w:r>
        <w:rPr>
          <w:rFonts w:ascii="Arial" w:hAnsi="Arial" w:eastAsia="Arial" w:cs="Arial"/>
          <w:color w:val="#000"/>
          <w:sz w:val="24"/>
          <w:szCs w:val="24"/>
        </w:rPr>
        <w:t xml:space="preserve"> Excursiones recomendadas u opcionales, consultar valores.</w:t>
      </w:r>
    </w:p>
    <w:p>
      <w:pPr>
        <w:numPr>
          <w:ilvl w:val="0"/>
          <w:numId w:val="2"/>
        </w:numPr>
      </w:pPr>
      <w:r>
        <w:rPr>
          <w:rFonts w:ascii="Arial" w:hAnsi="Arial" w:eastAsia="Arial" w:cs="Arial"/>
          <w:color w:val="#000"/>
          <w:sz w:val="24"/>
          <w:szCs w:val="24"/>
        </w:rPr>
        <w:t xml:space="preserve"> Consulte a su ejecutivo de cuentas para políticas de niños y 3er PAX</w:t>
      </w:r>
    </w:p>
    <w:p>
      <w:pPr>
        <w:numPr>
          <w:ilvl w:val="0"/>
          <w:numId w:val="2"/>
        </w:numPr>
      </w:pPr>
      <w:r>
        <w:rPr>
          <w:rFonts w:ascii="Arial" w:hAnsi="Arial" w:eastAsia="Arial" w:cs="Arial"/>
          <w:color w:val="#000"/>
          <w:sz w:val="24"/>
          <w:szCs w:val="24"/>
        </w:rPr>
        <w:t xml:space="preserve"> Si alguno de los traslados fuera nocturno (22:00-06:00 Hrs) tendría suplemento. Consultar.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29145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2024-05-18T11:29:30-04:00</dcterms:created>
  <dcterms:modified xsi:type="dcterms:W3CDTF">2024-05-18T11:29:30-04:00</dcterms:modified>
</cp:coreProperties>
</file>

<file path=docProps/custom.xml><?xml version="1.0" encoding="utf-8"?>
<Properties xmlns="http://schemas.openxmlformats.org/officeDocument/2006/custom-properties" xmlns:vt="http://schemas.openxmlformats.org/officeDocument/2006/docPropsVTypes"/>
</file>