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Porto De Galinhas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Recife / Hotel  Puerto de Galinhas en servicio compartido</w:t>
            </w:r>
          </w:p>
          <w:p>
            <w:pPr>
              <w:numPr>
                <w:ilvl w:val="0"/>
                <w:numId w:val="2"/>
              </w:numPr>
            </w:pPr>
            <w:r>
              <w:rPr>
                <w:rFonts w:ascii="Arial" w:hAnsi="Arial" w:eastAsia="Arial" w:cs="Arial"/>
                <w:color w:val="#000"/>
                <w:sz w:val="24"/>
                <w:szCs w:val="24"/>
              </w:rPr>
              <w:t xml:space="preserve">7 noches de alojamiento hotel seleccionado, solo desayuno</w:t>
            </w:r>
          </w:p>
          <w:p>
            <w:pPr>
              <w:numPr>
                <w:ilvl w:val="0"/>
                <w:numId w:val="2"/>
              </w:numPr>
            </w:pPr>
            <w:r>
              <w:rPr>
                <w:rFonts w:ascii="Arial" w:hAnsi="Arial" w:eastAsia="Arial" w:cs="Arial"/>
                <w:color w:val="#000"/>
                <w:sz w:val="24"/>
                <w:szCs w:val="24"/>
              </w:rPr>
              <w:t xml:space="preserve">Traslado hotel Puerto de Galinhas/ Aeropuerto en Recife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848</w:t>
            </w:r>
          </w:p>
        </w:tc>
        <w:tc>
          <w:tcPr>
            <w:tcW w:w="2000" w:type="dxa"/>
            <w:vAlign w:val="center"/>
            <w:vMerge w:val="restart"/>
          </w:tcPr>
          <w:p>
            <w:pPr>
              <w:jc w:val="center"/>
            </w:pPr>
            <w:r>
              <w:rPr>
                <w:color w:val="black"/>
                <w:sz w:val="18"/>
                <w:szCs w:val="18"/>
              </w:rPr>
              <w:t xml:space="preserve">440</w:t>
            </w:r>
          </w:p>
        </w:tc>
        <w:tc>
          <w:tcPr>
            <w:tcW w:w="2000" w:type="dxa"/>
            <w:vAlign w:val="center"/>
            <w:vMerge w:val="restart"/>
          </w:tcPr>
          <w:p>
            <w:pPr>
              <w:jc w:val="center"/>
            </w:pPr>
            <w:r>
              <w:rPr>
                <w:color w:val="black"/>
                <w:sz w:val="18"/>
                <w:szCs w:val="18"/>
              </w:rPr>
              <w:t xml:space="preserve">436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994</w:t>
            </w:r>
          </w:p>
        </w:tc>
        <w:tc>
          <w:tcPr>
            <w:tcW w:w="2000" w:type="dxa"/>
            <w:vAlign w:val="center"/>
            <w:vMerge w:val="restart"/>
          </w:tcPr>
          <w:p>
            <w:pPr>
              <w:jc w:val="center"/>
            </w:pPr>
            <w:r>
              <w:rPr>
                <w:color w:val="black"/>
                <w:sz w:val="18"/>
                <w:szCs w:val="18"/>
              </w:rPr>
              <w:t xml:space="preserve">514</w:t>
            </w:r>
          </w:p>
        </w:tc>
        <w:tc>
          <w:tcPr>
            <w:tcW w:w="2000" w:type="dxa"/>
            <w:vAlign w:val="center"/>
            <w:vMerge w:val="restart"/>
          </w:tcPr>
          <w:p>
            <w:pPr>
              <w:jc w:val="center"/>
            </w:pPr>
            <w:r>
              <w:rPr>
                <w:color w:val="black"/>
                <w:sz w:val="18"/>
                <w:szCs w:val="18"/>
              </w:rPr>
              <w:t xml:space="preserve">517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1165</w:t>
            </w:r>
          </w:p>
        </w:tc>
        <w:tc>
          <w:tcPr>
            <w:tcW w:w="2000" w:type="dxa"/>
            <w:vAlign w:val="center"/>
            <w:vMerge w:val="restart"/>
          </w:tcPr>
          <w:p>
            <w:pPr>
              <w:jc w:val="center"/>
            </w:pPr>
            <w:r>
              <w:rPr>
                <w:color w:val="black"/>
                <w:sz w:val="18"/>
                <w:szCs w:val="18"/>
              </w:rPr>
              <w:t xml:space="preserve">600</w:t>
            </w:r>
          </w:p>
        </w:tc>
        <w:tc>
          <w:tcPr>
            <w:tcW w:w="2000" w:type="dxa"/>
            <w:vAlign w:val="center"/>
            <w:vMerge w:val="restart"/>
          </w:tcPr>
          <w:p>
            <w:pPr>
              <w:jc w:val="center"/>
            </w:pPr>
            <w:r>
              <w:rPr>
                <w:color w:val="black"/>
                <w:sz w:val="18"/>
                <w:szCs w:val="18"/>
              </w:rPr>
              <w:t xml:space="preserve">604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20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Tour con mínimo de 02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7947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2024-04-19T18:14:05-04:00</dcterms:created>
  <dcterms:modified xsi:type="dcterms:W3CDTF">2024-04-19T18:14:05-04:00</dcterms:modified>
</cp:coreProperties>
</file>

<file path=docProps/custom.xml><?xml version="1.0" encoding="utf-8"?>
<Properties xmlns="http://schemas.openxmlformats.org/officeDocument/2006/custom-properties" xmlns:vt="http://schemas.openxmlformats.org/officeDocument/2006/docPropsVTypes"/>
</file>