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Cuzco Capital De Tahuantinsuyo</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935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 la estación de tren.</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1 noche de alojamiento en el Valle Sagrado,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Boleto de tren de ida y vuelta a Machu Picchu según categoría seleccionada.</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2 almuerzos.</w:t>
            </w:r>
          </w:p>
          <w:p>
            <w:pPr>
              <w:numPr>
                <w:ilvl w:val="0"/>
                <w:numId w:val="2"/>
              </w:numPr>
            </w:pPr>
            <w:r>
              <w:rPr>
                <w:rFonts w:ascii="Arial" w:hAnsi="Arial" w:eastAsia="Arial" w:cs="Arial"/>
                <w:color w:val="#000"/>
                <w:sz w:val="24"/>
                <w:szCs w:val="24"/>
              </w:rPr>
              <w:t xml:space="preserve">Desayunos diarios.</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hasta 69 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1128</w:t>
            </w:r>
          </w:p>
        </w:tc>
        <w:tc>
          <w:tcPr>
            <w:tcW w:w="2000" w:type="dxa"/>
            <w:vAlign w:val="center"/>
            <w:vMerge w:val="restart"/>
          </w:tcPr>
          <w:p>
            <w:pPr>
              <w:jc w:val="center"/>
            </w:pPr>
            <w:r>
              <w:rPr>
                <w:color w:val="black"/>
                <w:sz w:val="18"/>
                <w:szCs w:val="18"/>
              </w:rPr>
              <w:t xml:space="preserve">935</w:t>
            </w:r>
          </w:p>
        </w:tc>
        <w:tc>
          <w:tcPr>
            <w:tcW w:w="2000" w:type="dxa"/>
            <w:vAlign w:val="center"/>
            <w:vMerge w:val="restart"/>
          </w:tcPr>
          <w:p>
            <w:pPr>
              <w:jc w:val="center"/>
            </w:pPr>
            <w:r>
              <w:rPr>
                <w:color w:val="black"/>
                <w:sz w:val="18"/>
                <w:szCs w:val="18"/>
              </w:rPr>
              <w:t xml:space="preserve">926</w:t>
            </w:r>
          </w:p>
        </w:tc>
        <w:tc>
          <w:tcPr>
            <w:tcW w:w="2000" w:type="dxa"/>
            <w:vAlign w:val="center"/>
            <w:vMerge w:val="restart"/>
          </w:tcPr>
          <w:p>
            <w:pPr>
              <w:jc w:val="center"/>
            </w:pPr>
            <w:r>
              <w:rPr>
                <w:color w:val="black"/>
                <w:sz w:val="18"/>
                <w:szCs w:val="18"/>
              </w:rPr>
              <w:t xml:space="preserve">570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Anden Inca Hotel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945</w:t>
            </w:r>
          </w:p>
        </w:tc>
        <w:tc>
          <w:tcPr>
            <w:tcW w:w="2000" w:type="dxa"/>
            <w:vAlign w:val="center"/>
            <w:vMerge w:val="restart"/>
          </w:tcPr>
          <w:p>
            <w:pPr>
              <w:jc w:val="center"/>
            </w:pPr>
            <w:r>
              <w:rPr>
                <w:color w:val="black"/>
                <w:sz w:val="18"/>
                <w:szCs w:val="18"/>
              </w:rPr>
              <w:t xml:space="preserve">938</w:t>
            </w:r>
          </w:p>
        </w:tc>
        <w:tc>
          <w:tcPr>
            <w:tcW w:w="2000" w:type="dxa"/>
            <w:vAlign w:val="center"/>
            <w:vMerge w:val="restart"/>
          </w:tcPr>
          <w:p>
            <w:pPr>
              <w:jc w:val="center"/>
            </w:pPr>
            <w:r>
              <w:rPr>
                <w:color w:val="black"/>
                <w:sz w:val="18"/>
                <w:szCs w:val="18"/>
              </w:rPr>
              <w:t xml:space="preserve">586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1222</w:t>
            </w:r>
          </w:p>
        </w:tc>
        <w:tc>
          <w:tcPr>
            <w:tcW w:w="2000" w:type="dxa"/>
            <w:vAlign w:val="center"/>
            <w:vMerge w:val="restart"/>
          </w:tcPr>
          <w:p>
            <w:pPr>
              <w:jc w:val="center"/>
            </w:pPr>
            <w:r>
              <w:rPr>
                <w:color w:val="black"/>
                <w:sz w:val="18"/>
                <w:szCs w:val="18"/>
              </w:rPr>
              <w:t xml:space="preserve">968</w:t>
            </w:r>
          </w:p>
        </w:tc>
        <w:tc>
          <w:tcPr>
            <w:tcW w:w="2000" w:type="dxa"/>
            <w:vAlign w:val="center"/>
            <w:vMerge w:val="restart"/>
          </w:tcPr>
          <w:p>
            <w:pPr>
              <w:jc w:val="center"/>
            </w:pPr>
            <w:r>
              <w:rPr>
                <w:color w:val="black"/>
                <w:sz w:val="18"/>
                <w:szCs w:val="18"/>
              </w:rPr>
              <w:t xml:space="preserve">962</w:t>
            </w:r>
          </w:p>
        </w:tc>
        <w:tc>
          <w:tcPr>
            <w:tcW w:w="2000" w:type="dxa"/>
            <w:vAlign w:val="center"/>
            <w:vMerge w:val="restart"/>
          </w:tcPr>
          <w:p>
            <w:pPr>
              <w:jc w:val="center"/>
            </w:pPr>
            <w:r>
              <w:rPr>
                <w:color w:val="black"/>
                <w:sz w:val="18"/>
                <w:szCs w:val="18"/>
              </w:rPr>
              <w:t xml:space="preserve">613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1410</w:t>
            </w:r>
          </w:p>
        </w:tc>
        <w:tc>
          <w:tcPr>
            <w:tcW w:w="2000" w:type="dxa"/>
            <w:vAlign w:val="center"/>
            <w:vMerge w:val="restart"/>
          </w:tcPr>
          <w:p>
            <w:pPr>
              <w:jc w:val="center"/>
            </w:pPr>
            <w:r>
              <w:rPr>
                <w:color w:val="black"/>
                <w:sz w:val="18"/>
                <w:szCs w:val="18"/>
              </w:rPr>
              <w:t xml:space="preserve">1115</w:t>
            </w:r>
          </w:p>
        </w:tc>
        <w:tc>
          <w:tcPr>
            <w:tcW w:w="2000" w:type="dxa"/>
            <w:vAlign w:val="center"/>
            <w:vMerge w:val="restart"/>
          </w:tcPr>
          <w:p>
            <w:pPr>
              <w:jc w:val="center"/>
            </w:pPr>
            <w:r>
              <w:rPr>
                <w:color w:val="black"/>
                <w:sz w:val="18"/>
                <w:szCs w:val="18"/>
              </w:rPr>
              <w:t xml:space="preserve">1114</w:t>
            </w:r>
          </w:p>
        </w:tc>
        <w:tc>
          <w:tcPr>
            <w:tcW w:w="2000" w:type="dxa"/>
            <w:vAlign w:val="center"/>
            <w:vMerge w:val="restart"/>
          </w:tcPr>
          <w:p>
            <w:pPr>
              <w:jc w:val="center"/>
            </w:pPr>
            <w:r>
              <w:rPr>
                <w:color w:val="black"/>
                <w:sz w:val="18"/>
                <w:szCs w:val="18"/>
              </w:rPr>
              <w:t xml:space="preserve">740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1623</w:t>
            </w:r>
          </w:p>
        </w:tc>
        <w:tc>
          <w:tcPr>
            <w:tcW w:w="2000" w:type="dxa"/>
            <w:vAlign w:val="center"/>
            <w:vMerge w:val="restart"/>
          </w:tcPr>
          <w:p>
            <w:pPr>
              <w:jc w:val="center"/>
            </w:pPr>
            <w:r>
              <w:rPr>
                <w:color w:val="black"/>
                <w:sz w:val="18"/>
                <w:szCs w:val="18"/>
              </w:rPr>
              <w:t xml:space="preserve">1218</w:t>
            </w:r>
          </w:p>
        </w:tc>
        <w:tc>
          <w:tcPr>
            <w:tcW w:w="2000" w:type="dxa"/>
            <w:vAlign w:val="center"/>
            <w:vMerge w:val="restart"/>
          </w:tcPr>
          <w:p>
            <w:pPr>
              <w:jc w:val="center"/>
            </w:pPr>
            <w:r>
              <w:rPr>
                <w:color w:val="black"/>
                <w:sz w:val="18"/>
                <w:szCs w:val="18"/>
              </w:rPr>
              <w:t xml:space="preserve">1205</w:t>
            </w:r>
          </w:p>
        </w:tc>
        <w:tc>
          <w:tcPr>
            <w:tcW w:w="2000" w:type="dxa"/>
            <w:vAlign w:val="center"/>
            <w:vMerge w:val="restart"/>
          </w:tcPr>
          <w:p>
            <w:pPr>
              <w:jc w:val="center"/>
            </w:pPr>
            <w:r>
              <w:rPr>
                <w:color w:val="black"/>
                <w:sz w:val="18"/>
                <w:szCs w:val="18"/>
              </w:rPr>
              <w:t xml:space="preserve">807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2093</w:t>
            </w:r>
          </w:p>
        </w:tc>
        <w:tc>
          <w:tcPr>
            <w:tcW w:w="2000" w:type="dxa"/>
            <w:vAlign w:val="center"/>
            <w:vMerge w:val="restart"/>
          </w:tcPr>
          <w:p>
            <w:pPr>
              <w:jc w:val="center"/>
            </w:pPr>
            <w:r>
              <w:rPr>
                <w:color w:val="black"/>
                <w:sz w:val="18"/>
                <w:szCs w:val="18"/>
              </w:rPr>
              <w:t xml:space="preserve">1445</w:t>
            </w:r>
          </w:p>
        </w:tc>
        <w:tc>
          <w:tcPr>
            <w:tcW w:w="2000" w:type="dxa"/>
            <w:vAlign w:val="center"/>
            <w:vMerge w:val="restart"/>
          </w:tcPr>
          <w:p>
            <w:pPr>
              <w:jc w:val="center"/>
            </w:pPr>
            <w:r>
              <w:rPr>
                <w:color w:val="black"/>
                <w:sz w:val="18"/>
                <w:szCs w:val="18"/>
              </w:rPr>
              <w:t xml:space="preserve">1453</w:t>
            </w:r>
          </w:p>
        </w:tc>
        <w:tc>
          <w:tcPr>
            <w:tcW w:w="2000" w:type="dxa"/>
            <w:vAlign w:val="center"/>
            <w:vMerge w:val="restart"/>
          </w:tcPr>
          <w:p>
            <w:pPr>
              <w:jc w:val="center"/>
            </w:pPr>
            <w:r>
              <w:rPr>
                <w:color w:val="black"/>
                <w:sz w:val="18"/>
                <w:szCs w:val="18"/>
              </w:rPr>
              <w:t xml:space="preserve">1097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2273</w:t>
            </w:r>
          </w:p>
        </w:tc>
        <w:tc>
          <w:tcPr>
            <w:tcW w:w="2000" w:type="dxa"/>
            <w:vAlign w:val="center"/>
            <w:vMerge w:val="restart"/>
          </w:tcPr>
          <w:p>
            <w:pPr>
              <w:jc w:val="center"/>
            </w:pPr>
            <w:r>
              <w:rPr>
                <w:color w:val="black"/>
                <w:sz w:val="18"/>
                <w:szCs w:val="18"/>
              </w:rPr>
              <w:t xml:space="preserve">1534</w:t>
            </w:r>
          </w:p>
        </w:tc>
        <w:tc>
          <w:tcPr>
            <w:tcW w:w="2000" w:type="dxa"/>
            <w:vAlign w:val="center"/>
            <w:vMerge w:val="restart"/>
          </w:tcPr>
          <w:p>
            <w:pPr>
              <w:jc w:val="center"/>
            </w:pPr>
            <w:r>
              <w:rPr>
                <w:color w:val="black"/>
                <w:sz w:val="18"/>
                <w:szCs w:val="18"/>
              </w:rPr>
              <w:t xml:space="preserve">1533</w:t>
            </w:r>
          </w:p>
        </w:tc>
        <w:tc>
          <w:tcPr>
            <w:tcW w:w="2000" w:type="dxa"/>
            <w:vAlign w:val="center"/>
            <w:vMerge w:val="restart"/>
          </w:tcPr>
          <w:p>
            <w:pPr>
              <w:jc w:val="center"/>
            </w:pPr>
            <w:r>
              <w:rPr>
                <w:color w:val="black"/>
                <w:sz w:val="18"/>
                <w:szCs w:val="18"/>
              </w:rPr>
              <w:t xml:space="preserve">1160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Cusco, Capital del Imperio</w:t>
      </w:r>
    </w:p>
    <w:p>
      <w:pPr/>
      <w:r>
        <w:rPr/>
        <w:t xml:space="preserve">Llegada a la ciudad de Cusco,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02: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03: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t xml:space="preserve"> </w:t>
      </w:r>
    </w:p>
    <w:p>
      <w:pPr/>
      <w:r>
        <w:rPr>
          <w:b w:val="1"/>
          <w:bCs w:val="1"/>
        </w:rPr>
        <w:t xml:space="preserve">Día 04: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t xml:space="preserve"> </w:t>
      </w:r>
    </w:p>
    <w:p>
      <w:pPr/>
      <w:r>
        <w:rPr>
          <w:b w:val="1"/>
          <w:bCs w:val="1"/>
        </w:rPr>
        <w:t xml:space="preserve">Día 05: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En el hotel Palacio del Inka la triple es en base a una persona adicional en la habitación.</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Suplemento Tren  VISTADOME USD 70 POR PERSONA y TREN Machu Piccho 360 grados USD 42 POR PERSONA.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9922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2024-05-04T01:36:27-04:00</dcterms:created>
  <dcterms:modified xsi:type="dcterms:W3CDTF">2024-05-04T01:36:27-04:00</dcterms:modified>
</cp:coreProperties>
</file>

<file path=docProps/custom.xml><?xml version="1.0" encoding="utf-8"?>
<Properties xmlns="http://schemas.openxmlformats.org/officeDocument/2006/custom-properties" xmlns:vt="http://schemas.openxmlformats.org/officeDocument/2006/docPropsVTypes"/>
</file>