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DIA 1: SAN SALVADOR. </w:t>
      </w:r>
    </w:p>
    <w:p>
      <w:pPr/>
      <w:r>
        <w:rPr/>
        <w:t xml:space="preserve">Llegada a El Salvador traslado a Hotel. Por la noche le sugerimos visitar alguno de nuestros centros comerciales: Multiplaza o la Gran Vía. Acomodación en San Salvador.</w:t>
      </w:r>
    </w:p>
    <w:p>
      <w:pPr/>
      <w:r>
        <w:rPr/>
        <w:t xml:space="preserve"> </w:t>
      </w:r>
    </w:p>
    <w:p>
      <w:pPr/>
      <w:r>
        <w:rPr>
          <w:b w:val="1"/>
          <w:bCs w:val="1"/>
        </w:rPr>
        <w:t xml:space="preserve">DIA 2: VISITA DE LA CIUDAD Y JOYA DE CEREN</w:t>
      </w:r>
    </w:p>
    <w:p>
      <w:pPr/>
      <w:r>
        <w:rPr/>
        <w:t xml:space="preserve">Nuestro guía local estará encantado de mostrarle nuestra capital de  San Salvador y aprender todo acerca de la historia del país, la cultura y nuestragente. Iniciamos visitando La Puerta del Diablo, donde tendremos una vista impresionante de los Volcanes deEl Salvador,  Luego, visita al Museo de Armas para conocer un poco sobre la guerra civil en El Salvador durante los años 80´s. A continuación, recorrido por el Centro Histórico de San Salvador, con su catedral y Mausoleo de Monseñor Romero; Además visita panorámica de los modernos y los nuevos barrios de San Salvador. Tiempo libre para almorzar (Alimentación no incluida). Después del almuerzo, visitaremos el sitio arqueológico joya de Cerén patrimonio mundial por la Unesco  que nos muestra la vida cotidiana de los mayas y sus costumbres también llamada la Pompeya de américa aldea sepultada por cenizas volcánicas.  Acomodación en Coatepeque (B/D) </w:t>
      </w:r>
    </w:p>
    <w:p>
      <w:pPr/>
      <w:r>
        <w:rPr/>
        <w:t xml:space="preserve"> </w:t>
      </w:r>
    </w:p>
    <w:p>
      <w:pPr/>
      <w:r>
        <w:rPr/>
        <w:t xml:space="preserve"> </w:t>
      </w:r>
    </w:p>
    <w:p>
      <w:pPr/>
      <w:r>
        <w:rPr>
          <w:b w:val="1"/>
          <w:bCs w:val="1"/>
        </w:rPr>
        <w:t xml:space="preserve">DIA 3: CERRO VERDE-  RUTA DE LAS FLORES Y EL CAFÉ </w:t>
      </w:r>
    </w:p>
    <w:p>
      <w:pPr/>
      <w:r>
        <w:rPr/>
        <w:t xml:space="preserve">A media mañana visita del parque nacional cerro verde situado en la cima de un volcán extinto en donde caminaremos por aprox 45 minutos y disfrutaremos del bosque y las hermosas vistas. Posteriormente visitaremos el histórico Izalco, Nahuizalco y finalmente llegamos al pueblo de ataco lleno de tiendas típicas y una variada gastronomía. Acomodación en ataco (B) </w:t>
      </w:r>
    </w:p>
    <w:p>
      <w:pPr/>
      <w:r>
        <w:rPr/>
        <w:t xml:space="preserve"> </w:t>
      </w:r>
    </w:p>
    <w:p>
      <w:pPr/>
      <w:r>
        <w:rPr>
          <w:b w:val="1"/>
          <w:bCs w:val="1"/>
        </w:rPr>
        <w:t xml:space="preserve">DIA 4: ATACO – SAN SALVADOR </w:t>
      </w:r>
    </w:p>
    <w:p>
      <w:pPr/>
      <w:r>
        <w:rPr/>
        <w:t xml:space="preserve">A media mañana visitaremos una finca de café adonde conoceremos más acerca de su proceso. Tiempo libre para que conozca el pueblo de ataco, por la tarde saldremos hacia san salvador y en ruta visitaremos las aguas termales donde tendrá tiempo para relajarte llegada a san salvador y alojamiento. (B)</w:t>
      </w:r>
    </w:p>
    <w:p>
      <w:pPr/>
      <w:r>
        <w:rPr/>
        <w:t xml:space="preserve"> </w:t>
      </w:r>
    </w:p>
    <w:p>
      <w:pPr/>
      <w:r>
        <w:rPr>
          <w:b w:val="1"/>
          <w:bCs w:val="1"/>
        </w:rPr>
        <w:t xml:space="preserve">DIA 5: TRASLADO A AEROPUERTO.</w:t>
      </w:r>
    </w:p>
    <w:p>
      <w:pPr/>
      <w:r>
        <w:rPr/>
        <w:t xml:space="preserve">Desayuno. Tiempo libre hasta el traslado al aeropuerto para tomar  el vuelo a su ciudad de  destino </w:t>
      </w:r>
    </w:p>
    <w:p>
      <w:pPr/>
      <w:r>
        <w:rPr/>
        <w:t xml:space="preserve"> </w:t>
      </w:r>
    </w:p>
    <w:p>
      <w:pPr/>
      <w:r>
        <w:rPr/>
        <w:t xml:space="preserve">fin de nuestros servicios.</w:t>
      </w:r>
    </w:p>
    <w:p>
      <w:pPr/>
      <w:r>
        <w:rPr/>
        <w:t xml:space="preserve"> </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4C78E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2024-03-29T11:47:38-03:00</dcterms:created>
  <dcterms:modified xsi:type="dcterms:W3CDTF">2024-03-29T11:47:38-03:00</dcterms:modified>
</cp:coreProperties>
</file>

<file path=docProps/custom.xml><?xml version="1.0" encoding="utf-8"?>
<Properties xmlns="http://schemas.openxmlformats.org/officeDocument/2006/custom-properties" xmlns:vt="http://schemas.openxmlformats.org/officeDocument/2006/docPropsVTypes"/>
</file>